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5D956" w14:textId="1AD98F92" w:rsidR="00541A65" w:rsidRPr="0032143B" w:rsidRDefault="00541A65" w:rsidP="00541A65">
      <w:pPr>
        <w:pStyle w:val="Header"/>
        <w:tabs>
          <w:tab w:val="right" w:pos="9639"/>
        </w:tabs>
        <w:rPr>
          <w:i/>
          <w:sz w:val="24"/>
          <w:szCs w:val="24"/>
        </w:rPr>
      </w:pPr>
      <w:r w:rsidRPr="0032143B">
        <w:rPr>
          <w:sz w:val="24"/>
          <w:szCs w:val="24"/>
        </w:rPr>
        <w:t>3GPP TSG-RAN WG2 Meeting #12</w:t>
      </w:r>
      <w:r w:rsidR="00911F55" w:rsidRPr="0032143B">
        <w:rPr>
          <w:sz w:val="24"/>
          <w:szCs w:val="24"/>
        </w:rPr>
        <w:t>9</w:t>
      </w:r>
      <w:r w:rsidR="00E862B3" w:rsidRPr="0032143B">
        <w:rPr>
          <w:sz w:val="24"/>
          <w:szCs w:val="24"/>
        </w:rPr>
        <w:t>bis</w:t>
      </w:r>
      <w:r w:rsidRPr="0032143B">
        <w:rPr>
          <w:sz w:val="24"/>
          <w:szCs w:val="24"/>
        </w:rPr>
        <w:tab/>
      </w:r>
      <w:r w:rsidR="00C946E7" w:rsidRPr="00B335D7">
        <w:rPr>
          <w:bCs/>
          <w:noProof w:val="0"/>
          <w:sz w:val="24"/>
          <w:szCs w:val="24"/>
        </w:rPr>
        <w:t>R2-250226</w:t>
      </w:r>
      <w:r w:rsidR="00C946E7">
        <w:rPr>
          <w:bCs/>
          <w:noProof w:val="0"/>
          <w:sz w:val="24"/>
          <w:szCs w:val="24"/>
        </w:rPr>
        <w:t>6</w:t>
      </w:r>
    </w:p>
    <w:p w14:paraId="3723E1D3" w14:textId="12D4F634" w:rsidR="005432D9" w:rsidRPr="0032143B" w:rsidRDefault="00E862B3" w:rsidP="00541A65">
      <w:pPr>
        <w:pStyle w:val="Header"/>
        <w:tabs>
          <w:tab w:val="right" w:pos="9641"/>
        </w:tabs>
        <w:rPr>
          <w:rFonts w:eastAsia="宋体"/>
          <w:sz w:val="24"/>
          <w:szCs w:val="24"/>
          <w:lang w:eastAsia="zh-CN"/>
        </w:rPr>
      </w:pPr>
      <w:r w:rsidRPr="0032143B">
        <w:rPr>
          <w:sz w:val="24"/>
        </w:rPr>
        <w:t>Wuhan</w:t>
      </w:r>
      <w:r w:rsidR="00541A65" w:rsidRPr="0032143B">
        <w:rPr>
          <w:sz w:val="24"/>
        </w:rPr>
        <w:t xml:space="preserve">, </w:t>
      </w:r>
      <w:r w:rsidRPr="0032143B">
        <w:rPr>
          <w:sz w:val="24"/>
        </w:rPr>
        <w:t>China</w:t>
      </w:r>
      <w:r w:rsidR="00541A65" w:rsidRPr="0032143B">
        <w:rPr>
          <w:sz w:val="24"/>
        </w:rPr>
        <w:t xml:space="preserve">, </w:t>
      </w:r>
      <w:r w:rsidRPr="0032143B">
        <w:rPr>
          <w:sz w:val="24"/>
        </w:rPr>
        <w:t>0</w:t>
      </w:r>
      <w:r w:rsidR="009076D6" w:rsidRPr="0032143B">
        <w:rPr>
          <w:sz w:val="24"/>
        </w:rPr>
        <w:t>7</w:t>
      </w:r>
      <w:r w:rsidR="00541A65" w:rsidRPr="0032143B">
        <w:rPr>
          <w:sz w:val="24"/>
        </w:rPr>
        <w:t xml:space="preserve"> – </w:t>
      </w:r>
      <w:r w:rsidR="006F596D" w:rsidRPr="0032143B">
        <w:rPr>
          <w:sz w:val="24"/>
        </w:rPr>
        <w:t>11</w:t>
      </w:r>
      <w:r w:rsidR="00541A65" w:rsidRPr="0032143B">
        <w:rPr>
          <w:sz w:val="24"/>
        </w:rPr>
        <w:t xml:space="preserve"> </w:t>
      </w:r>
      <w:r w:rsidRPr="0032143B">
        <w:rPr>
          <w:sz w:val="24"/>
        </w:rPr>
        <w:t>April</w:t>
      </w:r>
      <w:r w:rsidR="00541A65" w:rsidRPr="0032143B">
        <w:rPr>
          <w:sz w:val="24"/>
        </w:rPr>
        <w:t xml:space="preserve"> 202</w:t>
      </w:r>
      <w:r w:rsidR="00911F55" w:rsidRPr="0032143B">
        <w:rPr>
          <w:sz w:val="24"/>
        </w:rPr>
        <w:t>5</w:t>
      </w:r>
      <w:r w:rsidR="00163A64" w:rsidRPr="0032143B">
        <w:rPr>
          <w:sz w:val="24"/>
        </w:rPr>
        <w:tab/>
      </w:r>
      <w:r w:rsidR="00541A65" w:rsidRPr="0032143B">
        <w:rPr>
          <w:sz w:val="24"/>
        </w:rPr>
        <w:tab/>
      </w:r>
    </w:p>
    <w:p w14:paraId="403CB9C0" w14:textId="77777777" w:rsidR="00A209D6" w:rsidRPr="0032143B" w:rsidRDefault="00A209D6" w:rsidP="00A209D6">
      <w:pPr>
        <w:pStyle w:val="Header"/>
        <w:rPr>
          <w:sz w:val="24"/>
        </w:rPr>
      </w:pPr>
    </w:p>
    <w:p w14:paraId="0D04DE0E" w14:textId="1FDBB72C" w:rsidR="008B549E" w:rsidRPr="0032143B" w:rsidRDefault="008B549E" w:rsidP="008B549E">
      <w:pPr>
        <w:pStyle w:val="CRCoverPage"/>
        <w:tabs>
          <w:tab w:val="left" w:pos="1985"/>
        </w:tabs>
        <w:rPr>
          <w:rFonts w:cs="Arial"/>
          <w:b/>
          <w:sz w:val="24"/>
          <w:lang w:eastAsia="ja-JP"/>
        </w:rPr>
      </w:pPr>
      <w:r w:rsidRPr="0032143B">
        <w:rPr>
          <w:rFonts w:cs="Arial"/>
          <w:b/>
          <w:sz w:val="24"/>
        </w:rPr>
        <w:t>Agenda item:</w:t>
      </w:r>
      <w:r w:rsidRPr="0032143B">
        <w:rPr>
          <w:rFonts w:cs="Arial"/>
          <w:b/>
          <w:sz w:val="24"/>
        </w:rPr>
        <w:tab/>
      </w:r>
      <w:r w:rsidR="00E579BF" w:rsidRPr="0032143B">
        <w:rPr>
          <w:rFonts w:cs="Arial"/>
          <w:b/>
          <w:sz w:val="24"/>
          <w:lang w:eastAsia="ja-JP"/>
        </w:rPr>
        <w:t>8.7.4.</w:t>
      </w:r>
      <w:r w:rsidR="00822538" w:rsidRPr="0032143B">
        <w:rPr>
          <w:rFonts w:cs="Arial"/>
          <w:b/>
          <w:sz w:val="24"/>
          <w:lang w:eastAsia="ja-JP"/>
        </w:rPr>
        <w:t>2</w:t>
      </w:r>
    </w:p>
    <w:p w14:paraId="0EC781B3" w14:textId="7A306B81" w:rsidR="008B549E" w:rsidRPr="0032143B" w:rsidRDefault="008B549E" w:rsidP="008B549E">
      <w:pPr>
        <w:tabs>
          <w:tab w:val="left" w:pos="1985"/>
        </w:tabs>
        <w:ind w:left="1985" w:hanging="1985"/>
        <w:rPr>
          <w:rFonts w:ascii="Arial" w:hAnsi="Arial" w:cs="Arial"/>
          <w:b/>
          <w:sz w:val="24"/>
        </w:rPr>
      </w:pPr>
      <w:r w:rsidRPr="0032143B">
        <w:rPr>
          <w:rFonts w:ascii="Arial" w:hAnsi="Arial" w:cs="Arial"/>
          <w:b/>
          <w:sz w:val="24"/>
        </w:rPr>
        <w:t>Source:</w:t>
      </w:r>
      <w:r w:rsidRPr="0032143B">
        <w:rPr>
          <w:rFonts w:ascii="Arial" w:hAnsi="Arial" w:cs="Arial"/>
          <w:b/>
          <w:sz w:val="24"/>
        </w:rPr>
        <w:tab/>
      </w:r>
      <w:r w:rsidR="00E11D66" w:rsidRPr="0032143B">
        <w:rPr>
          <w:rFonts w:ascii="Arial" w:hAnsi="Arial" w:cs="Arial"/>
          <w:b/>
          <w:sz w:val="24"/>
        </w:rPr>
        <w:t>Nokia, Nokia Shanghai Bell</w:t>
      </w:r>
    </w:p>
    <w:p w14:paraId="16C775DD" w14:textId="3B043FF6" w:rsidR="008B549E" w:rsidRPr="0032143B" w:rsidRDefault="008B549E" w:rsidP="008B549E">
      <w:pPr>
        <w:ind w:left="1985" w:hanging="1985"/>
        <w:rPr>
          <w:rFonts w:ascii="Arial" w:hAnsi="Arial" w:cs="Arial"/>
          <w:b/>
          <w:sz w:val="24"/>
        </w:rPr>
      </w:pPr>
      <w:r w:rsidRPr="0032143B">
        <w:rPr>
          <w:rFonts w:ascii="Arial" w:hAnsi="Arial" w:cs="Arial"/>
          <w:b/>
          <w:sz w:val="24"/>
        </w:rPr>
        <w:t>Title:</w:t>
      </w:r>
      <w:r w:rsidRPr="0032143B">
        <w:rPr>
          <w:rFonts w:ascii="Arial" w:hAnsi="Arial" w:cs="Arial"/>
          <w:b/>
          <w:sz w:val="24"/>
        </w:rPr>
        <w:tab/>
      </w:r>
      <w:r w:rsidR="00822538" w:rsidRPr="0032143B">
        <w:rPr>
          <w:rFonts w:ascii="Arial" w:hAnsi="Arial" w:cs="Arial"/>
          <w:b/>
          <w:sz w:val="24"/>
        </w:rPr>
        <w:t>DSR</w:t>
      </w:r>
      <w:r w:rsidR="00E579BF" w:rsidRPr="0032143B">
        <w:rPr>
          <w:rFonts w:ascii="Arial" w:hAnsi="Arial" w:cs="Arial"/>
          <w:b/>
          <w:sz w:val="24"/>
        </w:rPr>
        <w:t xml:space="preserve"> enhancements</w:t>
      </w:r>
    </w:p>
    <w:p w14:paraId="7D015DD9" w14:textId="468FAA03" w:rsidR="008B549E" w:rsidRPr="0032143B" w:rsidRDefault="008B549E" w:rsidP="008B549E">
      <w:pPr>
        <w:ind w:left="1985" w:hanging="1985"/>
        <w:rPr>
          <w:rFonts w:ascii="Arial" w:hAnsi="Arial" w:cs="Arial"/>
          <w:b/>
          <w:sz w:val="24"/>
        </w:rPr>
      </w:pPr>
      <w:r w:rsidRPr="0032143B">
        <w:rPr>
          <w:rFonts w:ascii="Arial" w:hAnsi="Arial" w:cs="Arial"/>
          <w:b/>
          <w:sz w:val="24"/>
        </w:rPr>
        <w:t>WID/SID:</w:t>
      </w:r>
      <w:r w:rsidRPr="0032143B">
        <w:rPr>
          <w:rFonts w:ascii="Arial" w:hAnsi="Arial" w:cs="Arial"/>
          <w:b/>
          <w:sz w:val="24"/>
        </w:rPr>
        <w:tab/>
      </w:r>
      <w:r w:rsidR="003B4357" w:rsidRPr="0032143B">
        <w:rPr>
          <w:rFonts w:ascii="Arial" w:hAnsi="Arial" w:cs="Arial"/>
          <w:b/>
          <w:sz w:val="24"/>
        </w:rPr>
        <w:t>NR_XR_Ph3-Core - Release 19</w:t>
      </w:r>
    </w:p>
    <w:p w14:paraId="387A415F" w14:textId="77777777" w:rsidR="008B549E" w:rsidRPr="0032143B" w:rsidRDefault="008B549E" w:rsidP="008B549E">
      <w:pPr>
        <w:tabs>
          <w:tab w:val="left" w:pos="1985"/>
        </w:tabs>
        <w:rPr>
          <w:rFonts w:ascii="Arial" w:hAnsi="Arial" w:cs="Arial"/>
          <w:b/>
          <w:sz w:val="24"/>
        </w:rPr>
      </w:pPr>
      <w:r w:rsidRPr="0032143B">
        <w:rPr>
          <w:rFonts w:ascii="Arial" w:hAnsi="Arial" w:cs="Arial"/>
          <w:b/>
          <w:sz w:val="24"/>
        </w:rPr>
        <w:t>Document for:</w:t>
      </w:r>
      <w:r w:rsidRPr="0032143B">
        <w:rPr>
          <w:rFonts w:ascii="Arial" w:hAnsi="Arial" w:cs="Arial"/>
          <w:b/>
          <w:sz w:val="24"/>
        </w:rPr>
        <w:tab/>
        <w:t>Discussion and Decision</w:t>
      </w:r>
    </w:p>
    <w:p w14:paraId="452AB6CC" w14:textId="77777777" w:rsidR="008B549E" w:rsidRPr="0032143B" w:rsidRDefault="008B549E" w:rsidP="008B549E">
      <w:pPr>
        <w:pStyle w:val="Heading1"/>
      </w:pPr>
      <w:r w:rsidRPr="0032143B">
        <w:t>1</w:t>
      </w:r>
      <w:r w:rsidRPr="0032143B">
        <w:tab/>
        <w:t>Introduction</w:t>
      </w:r>
    </w:p>
    <w:p w14:paraId="185252E0" w14:textId="5815A436" w:rsidR="003B4357" w:rsidRPr="0032143B" w:rsidRDefault="003B4357" w:rsidP="008B549E">
      <w:r w:rsidRPr="0032143B">
        <w:t>The following agreements were made in RAN2#129:</w:t>
      </w:r>
    </w:p>
    <w:tbl>
      <w:tblPr>
        <w:tblStyle w:val="TableGrid"/>
        <w:tblW w:w="0" w:type="auto"/>
        <w:tblLook w:val="04A0" w:firstRow="1" w:lastRow="0" w:firstColumn="1" w:lastColumn="0" w:noHBand="0" w:noVBand="1"/>
      </w:tblPr>
      <w:tblGrid>
        <w:gridCol w:w="9631"/>
      </w:tblGrid>
      <w:tr w:rsidR="003B4357" w:rsidRPr="0032143B" w14:paraId="72C7B278" w14:textId="77777777" w:rsidTr="003B4357">
        <w:tc>
          <w:tcPr>
            <w:tcW w:w="9631" w:type="dxa"/>
          </w:tcPr>
          <w:p w14:paraId="66A9A93D" w14:textId="77777777" w:rsidR="00822538" w:rsidRPr="0032143B" w:rsidRDefault="00822538" w:rsidP="00822538">
            <w:pPr>
              <w:pStyle w:val="Doc-text2"/>
              <w:ind w:left="0" w:firstLine="0"/>
              <w:rPr>
                <w:b/>
              </w:rPr>
            </w:pPr>
            <w:r w:rsidRPr="0032143B">
              <w:rPr>
                <w:b/>
              </w:rPr>
              <w:t>Agreements on DSR enhancements</w:t>
            </w:r>
          </w:p>
          <w:p w14:paraId="15CE7A3B" w14:textId="77777777" w:rsidR="00822538" w:rsidRPr="0032143B" w:rsidRDefault="00822538" w:rsidP="00822538">
            <w:pPr>
              <w:pStyle w:val="Doc-text2"/>
              <w:numPr>
                <w:ilvl w:val="0"/>
                <w:numId w:val="19"/>
              </w:numPr>
            </w:pPr>
            <w:r w:rsidRPr="0032143B">
              <w:t>One extension bit (e.g. by redefining the reserved R bit) can be used to indicate whether a further pair of remaining time and buffer size information is present for the associated LCG in the enhanced DSR MAC CE.</w:t>
            </w:r>
          </w:p>
          <w:p w14:paraId="2D33E095" w14:textId="77777777" w:rsidR="00822538" w:rsidRPr="0032143B" w:rsidRDefault="00822538" w:rsidP="00822538">
            <w:pPr>
              <w:pStyle w:val="Doc-text2"/>
              <w:numPr>
                <w:ilvl w:val="0"/>
                <w:numId w:val="19"/>
              </w:numPr>
            </w:pPr>
            <w:r w:rsidRPr="0032143B">
              <w:t>FFS New DSR MAC CE will (always) be used when at least one LCG is configured with multiple thresholds.</w:t>
            </w:r>
          </w:p>
          <w:p w14:paraId="3A3B81FB" w14:textId="77777777" w:rsidR="00822538" w:rsidRPr="0032143B" w:rsidRDefault="00822538" w:rsidP="00822538">
            <w:pPr>
              <w:pStyle w:val="Doc-text2"/>
              <w:numPr>
                <w:ilvl w:val="0"/>
                <w:numId w:val="19"/>
              </w:numPr>
            </w:pPr>
            <w:r w:rsidRPr="0032143B">
              <w:t>We do not support truncated DSR nor fallback to legacy DSR in case of limited PUSCH grant size.</w:t>
            </w:r>
          </w:p>
          <w:p w14:paraId="17F64976" w14:textId="77777777" w:rsidR="00822538" w:rsidRPr="0032143B" w:rsidRDefault="00822538" w:rsidP="00822538">
            <w:pPr>
              <w:pStyle w:val="Doc-text2"/>
              <w:numPr>
                <w:ilvl w:val="0"/>
                <w:numId w:val="19"/>
              </w:numPr>
            </w:pPr>
            <w:r w:rsidRPr="0032143B">
              <w:t>Different LCGs may be configured with different number of reporting thresholds.</w:t>
            </w:r>
          </w:p>
          <w:p w14:paraId="5E6CEE16" w14:textId="77777777" w:rsidR="00822538" w:rsidRPr="0032143B" w:rsidRDefault="00822538" w:rsidP="00822538">
            <w:pPr>
              <w:pStyle w:val="Doc-text2"/>
              <w:numPr>
                <w:ilvl w:val="0"/>
                <w:numId w:val="19"/>
              </w:numPr>
            </w:pPr>
            <w:r w:rsidRPr="0032143B">
              <w:t>If UE is configured to use R19 DSR, then any LCG with a triggering threshold shall be configured with at least one reporting threshold.</w:t>
            </w:r>
          </w:p>
          <w:p w14:paraId="13F6A101" w14:textId="77777777" w:rsidR="00822538" w:rsidRPr="0032143B" w:rsidRDefault="00822538" w:rsidP="00822538">
            <w:pPr>
              <w:pStyle w:val="Doc-text2"/>
              <w:numPr>
                <w:ilvl w:val="0"/>
                <w:numId w:val="19"/>
              </w:numPr>
            </w:pPr>
            <w:r w:rsidRPr="0032143B">
              <w:t>Triggering threshold is not used as a reporting threshold (but one of reporting thresholds can be configured to the same value as triggering threshold).</w:t>
            </w:r>
          </w:p>
          <w:p w14:paraId="52611DF9" w14:textId="778B6320" w:rsidR="003B4357" w:rsidRPr="0032143B" w:rsidRDefault="00822538" w:rsidP="00822538">
            <w:pPr>
              <w:pStyle w:val="Doc-text2"/>
              <w:numPr>
                <w:ilvl w:val="0"/>
                <w:numId w:val="19"/>
              </w:numPr>
              <w:rPr>
                <w:b/>
              </w:rPr>
            </w:pPr>
            <w:r w:rsidRPr="0032143B">
              <w:t>Do not support a configuration of an LCG without any triggering threshold but with DSR reporting threshold(s).</w:t>
            </w:r>
          </w:p>
        </w:tc>
      </w:tr>
    </w:tbl>
    <w:p w14:paraId="0D91D783" w14:textId="29421599" w:rsidR="008B549E" w:rsidRPr="0032143B" w:rsidRDefault="003B4357" w:rsidP="008B549E">
      <w:r w:rsidRPr="0032143B">
        <w:t> </w:t>
      </w:r>
    </w:p>
    <w:p w14:paraId="2F0575B0" w14:textId="101D3348" w:rsidR="008B549E" w:rsidRPr="0032143B" w:rsidRDefault="008B549E" w:rsidP="008B549E">
      <w:pPr>
        <w:pStyle w:val="Heading1"/>
      </w:pPr>
      <w:r w:rsidRPr="0032143B">
        <w:t>2</w:t>
      </w:r>
      <w:r w:rsidRPr="0032143B">
        <w:tab/>
      </w:r>
      <w:r w:rsidR="00BF4167" w:rsidRPr="0032143B">
        <w:t>Discussion</w:t>
      </w:r>
    </w:p>
    <w:p w14:paraId="7F80A425" w14:textId="3EBFD9B3" w:rsidR="008B549E" w:rsidRPr="0032143B" w:rsidRDefault="008B549E" w:rsidP="008B549E">
      <w:pPr>
        <w:pStyle w:val="Heading2"/>
      </w:pPr>
      <w:r w:rsidRPr="0032143B">
        <w:t>2.1</w:t>
      </w:r>
      <w:r w:rsidRPr="0032143B">
        <w:tab/>
      </w:r>
      <w:r w:rsidR="00DC17F6" w:rsidRPr="0032143B">
        <w:t>Reporting control and retransmission PDUs</w:t>
      </w:r>
    </w:p>
    <w:p w14:paraId="125D2C78" w14:textId="07708036" w:rsidR="00C60252" w:rsidRDefault="007017C6" w:rsidP="008B549E">
      <w:r>
        <w:t xml:space="preserve">Current running CR has not covered the behavior for </w:t>
      </w:r>
      <w:r w:rsidR="005F22D6">
        <w:t xml:space="preserve">reporting control and retransmission PDUs. </w:t>
      </w:r>
      <w:r w:rsidR="00201DE1">
        <w:t xml:space="preserve">Clause </w:t>
      </w:r>
      <w:r w:rsidR="00797272">
        <w:t xml:space="preserve">5.15 </w:t>
      </w:r>
      <w:r w:rsidR="00D11C8E">
        <w:t xml:space="preserve">of </w:t>
      </w:r>
      <w:r w:rsidR="004B284D">
        <w:t>TS 38.323</w:t>
      </w:r>
      <w:r w:rsidR="00BD2D14">
        <w:t xml:space="preserve"> indicates </w:t>
      </w:r>
      <w:r w:rsidR="006543EE">
        <w:t xml:space="preserve">the </w:t>
      </w:r>
      <w:r w:rsidR="00D25D3D">
        <w:t>transmitting PDCP entity shall consider</w:t>
      </w:r>
      <w:r w:rsidR="007A19DA">
        <w:t xml:space="preserve"> the following as delay-critical PDCP data volume</w:t>
      </w:r>
      <w:r w:rsidR="001F67A4">
        <w:t xml:space="preserve"> for Rel-18 DSR</w:t>
      </w:r>
      <w:r w:rsidR="007A19DA">
        <w:t>:</w:t>
      </w:r>
    </w:p>
    <w:tbl>
      <w:tblPr>
        <w:tblStyle w:val="TableGrid"/>
        <w:tblW w:w="0" w:type="auto"/>
        <w:tblLook w:val="04A0" w:firstRow="1" w:lastRow="0" w:firstColumn="1" w:lastColumn="0" w:noHBand="0" w:noVBand="1"/>
      </w:tblPr>
      <w:tblGrid>
        <w:gridCol w:w="9631"/>
      </w:tblGrid>
      <w:tr w:rsidR="007A19DA" w14:paraId="3EBA4226" w14:textId="77777777" w:rsidTr="007A19DA">
        <w:tc>
          <w:tcPr>
            <w:tcW w:w="9631" w:type="dxa"/>
          </w:tcPr>
          <w:p w14:paraId="618F0A33" w14:textId="77777777" w:rsidR="00E62FED" w:rsidRDefault="007D1537" w:rsidP="00811ED3">
            <w:pPr>
              <w:pStyle w:val="ListParagraph"/>
              <w:numPr>
                <w:ilvl w:val="0"/>
                <w:numId w:val="23"/>
              </w:numPr>
            </w:pPr>
            <w:r w:rsidRPr="00E62FED">
              <w:t xml:space="preserve">the delay-critical PDCP SDUs for which no PDCP Data PDUs have been constructed; </w:t>
            </w:r>
          </w:p>
          <w:p w14:paraId="65624D5B" w14:textId="77777777" w:rsidR="00867C63" w:rsidRDefault="007D1537" w:rsidP="00811ED3">
            <w:pPr>
              <w:pStyle w:val="ListParagraph"/>
              <w:numPr>
                <w:ilvl w:val="0"/>
                <w:numId w:val="23"/>
              </w:numPr>
            </w:pPr>
            <w:r w:rsidRPr="00E62FED">
              <w:t>the PDCP Data PDUs that contain the delay-critical PDCP SDUs and have not been submitted to lower layers;</w:t>
            </w:r>
          </w:p>
          <w:p w14:paraId="2A43F6F6" w14:textId="77777777" w:rsidR="00FF5577" w:rsidRPr="00D3697A" w:rsidRDefault="007D1537" w:rsidP="00811ED3">
            <w:pPr>
              <w:pStyle w:val="ListParagraph"/>
              <w:numPr>
                <w:ilvl w:val="0"/>
                <w:numId w:val="23"/>
              </w:numPr>
              <w:rPr>
                <w:highlight w:val="yellow"/>
              </w:rPr>
            </w:pPr>
            <w:r w:rsidRPr="00D3697A">
              <w:rPr>
                <w:highlight w:val="yellow"/>
              </w:rPr>
              <w:t>the PDCP Control PDUs;</w:t>
            </w:r>
          </w:p>
          <w:p w14:paraId="703626A0" w14:textId="77777777" w:rsidR="00FF5577" w:rsidRDefault="007D1537" w:rsidP="00811ED3">
            <w:pPr>
              <w:pStyle w:val="ListParagraph"/>
              <w:numPr>
                <w:ilvl w:val="0"/>
                <w:numId w:val="23"/>
              </w:numPr>
            </w:pPr>
            <w:r w:rsidRPr="00E62FED">
              <w:t>for AM DRBs, the PDCP SDUs to be retransmitted according to clause 5.1.2 and clause 5.13;</w:t>
            </w:r>
          </w:p>
          <w:p w14:paraId="5BED6EA3" w14:textId="27B1EF4D" w:rsidR="007A19DA" w:rsidRPr="00E62FED" w:rsidRDefault="007D1537" w:rsidP="00D3697A">
            <w:pPr>
              <w:pStyle w:val="ListParagraph"/>
              <w:numPr>
                <w:ilvl w:val="0"/>
                <w:numId w:val="23"/>
              </w:numPr>
            </w:pPr>
            <w:r w:rsidRPr="00D3697A">
              <w:rPr>
                <w:highlight w:val="yellow"/>
              </w:rPr>
              <w:t>for AM DRBs, the PDCP Data PDUs to be retransmitted according to clause 5.5.</w:t>
            </w:r>
          </w:p>
        </w:tc>
      </w:tr>
    </w:tbl>
    <w:p w14:paraId="2B6E6433" w14:textId="77777777" w:rsidR="00AD6444" w:rsidRDefault="00AD6444" w:rsidP="00D3697A">
      <w:pPr>
        <w:spacing w:after="0"/>
      </w:pPr>
    </w:p>
    <w:p w14:paraId="0D5ADC17" w14:textId="77777777" w:rsidR="006D54CD" w:rsidRDefault="004F00F6" w:rsidP="00D3697A">
      <w:pPr>
        <w:spacing w:after="120"/>
        <w:jc w:val="both"/>
        <w:rPr>
          <w:lang w:val="en-US"/>
        </w:rPr>
      </w:pPr>
      <w:r>
        <w:t xml:space="preserve">Then, both PDCP Control PDUs and </w:t>
      </w:r>
      <w:r w:rsidR="00770A72">
        <w:t>AM DRBs</w:t>
      </w:r>
      <w:r w:rsidR="002F5979">
        <w:t xml:space="preserve"> containing PDCP Data PDUs for retra</w:t>
      </w:r>
      <w:r w:rsidR="0050259D">
        <w:t>nsmissions are considered as delay</w:t>
      </w:r>
      <w:r w:rsidR="0050259D">
        <w:rPr>
          <w:lang w:val="en-US"/>
        </w:rPr>
        <w:t>-critical</w:t>
      </w:r>
      <w:r w:rsidR="00E839FB">
        <w:rPr>
          <w:lang w:val="en-US"/>
        </w:rPr>
        <w:t xml:space="preserve">. </w:t>
      </w:r>
      <w:r w:rsidR="00441F17">
        <w:rPr>
          <w:lang w:val="en-US"/>
        </w:rPr>
        <w:t xml:space="preserve">An important </w:t>
      </w:r>
      <w:r w:rsidR="00DF12DB">
        <w:rPr>
          <w:lang w:val="en-US"/>
        </w:rPr>
        <w:t>clarification</w:t>
      </w:r>
      <w:r w:rsidR="00554CCF">
        <w:rPr>
          <w:lang w:val="en-US"/>
        </w:rPr>
        <w:t xml:space="preserve"> is needed to determine </w:t>
      </w:r>
      <w:r w:rsidR="006D159E">
        <w:rPr>
          <w:lang w:val="en-US"/>
        </w:rPr>
        <w:t xml:space="preserve">within which reporting thresholds each of </w:t>
      </w:r>
      <w:r w:rsidR="006C4BCA">
        <w:rPr>
          <w:lang w:val="en-US"/>
        </w:rPr>
        <w:t>these PDCP PDUs</w:t>
      </w:r>
      <w:r w:rsidR="006D159E">
        <w:rPr>
          <w:lang w:val="en-US"/>
        </w:rPr>
        <w:t xml:space="preserve"> should be reported</w:t>
      </w:r>
      <w:r w:rsidR="006D54CD">
        <w:rPr>
          <w:lang w:val="en-US"/>
        </w:rPr>
        <w:t>.</w:t>
      </w:r>
    </w:p>
    <w:p w14:paraId="60CCBB58" w14:textId="0725290C" w:rsidR="00AD6444" w:rsidRDefault="002F32F1" w:rsidP="00D3697A">
      <w:pPr>
        <w:spacing w:after="120"/>
        <w:jc w:val="both"/>
      </w:pPr>
      <w:r>
        <w:rPr>
          <w:lang w:val="en-US"/>
        </w:rPr>
        <w:t>Since the</w:t>
      </w:r>
      <w:r w:rsidR="008E782D">
        <w:t xml:space="preserve"> </w:t>
      </w:r>
      <w:r w:rsidR="004D5429">
        <w:t>PDCP control PDUs</w:t>
      </w:r>
      <w:r w:rsidR="00B201FA">
        <w:t xml:space="preserve"> </w:t>
      </w:r>
      <w:r w:rsidR="008B6F1F">
        <w:t>carr</w:t>
      </w:r>
      <w:r w:rsidR="00BD15A4">
        <w:t>y control plane data</w:t>
      </w:r>
      <w:r w:rsidR="004109F1">
        <w:t xml:space="preserve">, </w:t>
      </w:r>
      <w:r w:rsidR="006D0EFE">
        <w:t xml:space="preserve">in our views, </w:t>
      </w:r>
      <w:r w:rsidR="008C60AC">
        <w:t>it is requ</w:t>
      </w:r>
      <w:r w:rsidR="004412BA">
        <w:t xml:space="preserve">ired </w:t>
      </w:r>
      <w:r w:rsidR="003F59DC">
        <w:t>t</w:t>
      </w:r>
      <w:r w:rsidR="00AC229E">
        <w:t xml:space="preserve">heir data volume </w:t>
      </w:r>
      <w:r w:rsidR="003F59DC">
        <w:t>to</w:t>
      </w:r>
      <w:r w:rsidR="00AC229E">
        <w:t xml:space="preserve"> be included in the first reporting threshold (i.e., smallest reporting threshold)</w:t>
      </w:r>
      <w:r w:rsidR="0064206A">
        <w:t>.</w:t>
      </w:r>
      <w:r w:rsidR="00AC229E">
        <w:t xml:space="preserve"> It will guarantee their transmission together with the data having the smallest remaining time, as the scheduler </w:t>
      </w:r>
      <w:r w:rsidR="00565E6D">
        <w:t>is being</w:t>
      </w:r>
      <w:r w:rsidR="00AC229E">
        <w:t xml:space="preserve"> aware of the </w:t>
      </w:r>
      <w:r w:rsidR="00651FAD">
        <w:t xml:space="preserve">data </w:t>
      </w:r>
      <w:r w:rsidR="00AC229E">
        <w:t>urgency and take the proper actions</w:t>
      </w:r>
      <w:r w:rsidR="001C3D7F">
        <w:t xml:space="preserve"> </w:t>
      </w:r>
      <w:r w:rsidR="00651FAD">
        <w:t>to at least transmit them</w:t>
      </w:r>
      <w:r w:rsidR="00701959">
        <w:t>, i</w:t>
      </w:r>
      <w:r w:rsidR="000F5E22">
        <w:t xml:space="preserve">n case </w:t>
      </w:r>
      <w:r w:rsidR="00012E81">
        <w:t>the number of resources is limited</w:t>
      </w:r>
      <w:r w:rsidR="00651FAD">
        <w:t>.</w:t>
      </w:r>
    </w:p>
    <w:p w14:paraId="64C0FE30" w14:textId="01F3457A" w:rsidR="00C75A4E" w:rsidRPr="0032143B" w:rsidRDefault="00C75A4E" w:rsidP="00651FAD">
      <w:pPr>
        <w:jc w:val="both"/>
      </w:pPr>
      <w:r w:rsidRPr="0032143B">
        <w:rPr>
          <w:b/>
        </w:rPr>
        <w:t>Proposal 1</w:t>
      </w:r>
      <w:r w:rsidRPr="0032143B">
        <w:t xml:space="preserve">: </w:t>
      </w:r>
      <w:r>
        <w:t xml:space="preserve">Control PDUs data volume </w:t>
      </w:r>
      <w:r w:rsidR="00F16EF8">
        <w:t>are</w:t>
      </w:r>
      <w:r>
        <w:t xml:space="preserve"> included in the first reporting threshold.</w:t>
      </w:r>
    </w:p>
    <w:p w14:paraId="5FEA158A" w14:textId="77777777" w:rsidR="006E0ABE" w:rsidRDefault="006E0ABE" w:rsidP="00D3697A">
      <w:pPr>
        <w:jc w:val="both"/>
      </w:pPr>
      <w:r>
        <w:lastRenderedPageBreak/>
        <w:t>Another open issue is whether only Control PDU can be included as in DSR if there is no other delay critical data for the LCG. We understand it is not included for Rel-18 since there is no remaining time for control PDU. Same could be applied for Rel-19.</w:t>
      </w:r>
    </w:p>
    <w:p w14:paraId="32494585" w14:textId="4496C2D8" w:rsidR="006E0ABE" w:rsidRDefault="006E0ABE" w:rsidP="006E0ABE">
      <w:r w:rsidRPr="00D3697A">
        <w:rPr>
          <w:b/>
        </w:rPr>
        <w:t xml:space="preserve">Proposal </w:t>
      </w:r>
      <w:r w:rsidR="005D60C9" w:rsidRPr="00D3697A">
        <w:rPr>
          <w:b/>
          <w:bCs/>
        </w:rPr>
        <w:t>2</w:t>
      </w:r>
      <w:r w:rsidRPr="00D3697A">
        <w:rPr>
          <w:b/>
        </w:rPr>
        <w:t>:</w:t>
      </w:r>
      <w:r>
        <w:t xml:space="preserve"> If an LCG is with only Control PDU, they are not reported in DSR.</w:t>
      </w:r>
    </w:p>
    <w:p w14:paraId="0C8B7666" w14:textId="2C9234EC" w:rsidR="007833FC" w:rsidRPr="00E33966" w:rsidRDefault="001F031D" w:rsidP="00D3697A">
      <w:pPr>
        <w:spacing w:after="120"/>
        <w:jc w:val="both"/>
      </w:pPr>
      <w:r>
        <w:t>On the other hand,</w:t>
      </w:r>
      <w:r w:rsidR="009A3D6D">
        <w:t xml:space="preserve"> the PDCP Data PDUs</w:t>
      </w:r>
      <w:r w:rsidR="005B6A52">
        <w:t xml:space="preserve"> </w:t>
      </w:r>
      <w:r w:rsidR="009B2551">
        <w:t>for retransmissions</w:t>
      </w:r>
      <w:r>
        <w:t xml:space="preserve"> are directly linked to their respective PDCP discard timers</w:t>
      </w:r>
      <w:r w:rsidR="00910361">
        <w:t>.</w:t>
      </w:r>
      <w:r w:rsidR="004C1507">
        <w:t xml:space="preserve"> </w:t>
      </w:r>
      <w:r w:rsidR="00C81FFC">
        <w:t>In Rel-18</w:t>
      </w:r>
      <w:r w:rsidR="0076514F">
        <w:t xml:space="preserve">, </w:t>
      </w:r>
      <w:r w:rsidR="00C37E47">
        <w:t xml:space="preserve">those PDCP Data PDUs </w:t>
      </w:r>
      <w:r w:rsidR="00D77189">
        <w:t xml:space="preserve">are included in </w:t>
      </w:r>
      <w:r w:rsidR="00396E01">
        <w:t>delay</w:t>
      </w:r>
      <w:r w:rsidR="000E77F0">
        <w:t>-critical data</w:t>
      </w:r>
      <w:r w:rsidR="007006AA">
        <w:t xml:space="preserve"> even if their </w:t>
      </w:r>
      <w:r w:rsidR="0055141C">
        <w:t xml:space="preserve">remaining time </w:t>
      </w:r>
      <w:r w:rsidR="00E97842">
        <w:t xml:space="preserve">is </w:t>
      </w:r>
      <w:r w:rsidR="009A4CA7">
        <w:t xml:space="preserve">above the </w:t>
      </w:r>
      <w:r w:rsidR="00F22024">
        <w:t>reporting threshold</w:t>
      </w:r>
      <w:r w:rsidR="00B4792B">
        <w:t xml:space="preserve">. However, </w:t>
      </w:r>
      <w:r w:rsidR="00F47FAE">
        <w:t>for the Rel-19 enhanced DSR</w:t>
      </w:r>
      <w:r w:rsidR="00CC3F73">
        <w:t>, the inclusion of multiple reporting thresholds</w:t>
      </w:r>
      <w:r w:rsidR="00EB2184">
        <w:t xml:space="preserve"> </w:t>
      </w:r>
      <w:r w:rsidR="000A21B1">
        <w:t xml:space="preserve">gives more </w:t>
      </w:r>
      <w:r w:rsidR="00EF32E0">
        <w:t>manurable margin</w:t>
      </w:r>
      <w:r w:rsidR="00910361">
        <w:t xml:space="preserve"> </w:t>
      </w:r>
      <w:r w:rsidR="001F62F9">
        <w:t xml:space="preserve">to </w:t>
      </w:r>
      <w:r w:rsidR="00423A8E">
        <w:t xml:space="preserve">include the data volume of these PDUs in </w:t>
      </w:r>
      <w:r w:rsidR="00A57A01">
        <w:t xml:space="preserve">the corresponding </w:t>
      </w:r>
      <w:r w:rsidR="00423A8E">
        <w:t>reporting thresholds</w:t>
      </w:r>
      <w:r w:rsidR="00A57A01">
        <w:t xml:space="preserve">. </w:t>
      </w:r>
      <w:r w:rsidR="002472E5">
        <w:t xml:space="preserve">As the </w:t>
      </w:r>
      <w:r w:rsidR="00520B1D">
        <w:t>PDCP discard time</w:t>
      </w:r>
      <w:r w:rsidR="00B636EB">
        <w:t>rs reduce</w:t>
      </w:r>
      <w:r w:rsidR="00ED525C">
        <w:t xml:space="preserve">, </w:t>
      </w:r>
      <w:r w:rsidR="0057306D">
        <w:t>they will be chan</w:t>
      </w:r>
      <w:r w:rsidR="00E77C10">
        <w:t>ging the reporting threshold</w:t>
      </w:r>
      <w:r w:rsidR="007833FC">
        <w:t>. Therefore,</w:t>
      </w:r>
      <w:r w:rsidR="005F126A">
        <w:t xml:space="preserve"> we consider</w:t>
      </w:r>
      <w:r w:rsidR="007833FC">
        <w:t xml:space="preserve"> they should be treated as any other data PDUs, and their data volume should be included in the respective reporting threshold</w:t>
      </w:r>
      <w:r w:rsidR="00C50A71">
        <w:t xml:space="preserve"> to allow finer granularity for </w:t>
      </w:r>
      <w:r w:rsidR="006C2C06">
        <w:t>retransmission</w:t>
      </w:r>
      <w:r w:rsidR="00C50A71">
        <w:t xml:space="preserve"> data as well</w:t>
      </w:r>
      <w:r w:rsidR="00032517">
        <w:t xml:space="preserve"> which is the original purpose of introducing Rel-19 DSR</w:t>
      </w:r>
      <w:r w:rsidR="007833FC">
        <w:t xml:space="preserve">. </w:t>
      </w:r>
      <w:r w:rsidR="00F80CAA">
        <w:t>However, we see no</w:t>
      </w:r>
      <w:r w:rsidR="00F16EF8">
        <w:t xml:space="preserve"> big</w:t>
      </w:r>
      <w:r w:rsidR="00F80CAA">
        <w:t xml:space="preserve"> issue to report them all in the first </w:t>
      </w:r>
      <w:r w:rsidR="00F16EF8">
        <w:t>reporting threshold either.</w:t>
      </w:r>
    </w:p>
    <w:p w14:paraId="69540A0A" w14:textId="46B1C2D2" w:rsidR="007833FC" w:rsidRPr="00C75A4E" w:rsidRDefault="007833FC" w:rsidP="00C946E7">
      <w:r>
        <w:rPr>
          <w:b/>
        </w:rPr>
        <w:t xml:space="preserve">Proposal </w:t>
      </w:r>
      <w:r w:rsidR="005D60C9">
        <w:rPr>
          <w:b/>
        </w:rPr>
        <w:t>3</w:t>
      </w:r>
      <w:r>
        <w:rPr>
          <w:b/>
        </w:rPr>
        <w:t xml:space="preserve">: </w:t>
      </w:r>
      <w:r>
        <w:t xml:space="preserve">Retransmission PDU data volume </w:t>
      </w:r>
      <w:r w:rsidR="00C946E7">
        <w:t>is</w:t>
      </w:r>
      <w:r>
        <w:t xml:space="preserve"> included in the reporting threshold corresponding to their respective remaining time</w:t>
      </w:r>
      <w:r>
        <w:rPr>
          <w:lang w:val="en-US"/>
        </w:rPr>
        <w:t xml:space="preserve"> value</w:t>
      </w:r>
      <w:r>
        <w:t xml:space="preserve">. </w:t>
      </w:r>
    </w:p>
    <w:p w14:paraId="112AC524" w14:textId="3F9CB037" w:rsidR="006049B5" w:rsidRPr="0032143B" w:rsidRDefault="006049B5" w:rsidP="006049B5">
      <w:pPr>
        <w:pStyle w:val="Heading2"/>
      </w:pPr>
      <w:r w:rsidRPr="0032143B">
        <w:t>2.</w:t>
      </w:r>
      <w:r>
        <w:t>3</w:t>
      </w:r>
      <w:r w:rsidRPr="0032143B">
        <w:tab/>
        <w:t xml:space="preserve">DSR </w:t>
      </w:r>
      <w:r>
        <w:t>MAC CE details</w:t>
      </w:r>
    </w:p>
    <w:p w14:paraId="02918469" w14:textId="74269903" w:rsidR="006049B5" w:rsidRDefault="00D655AA" w:rsidP="008B549E">
      <w:r>
        <w:t xml:space="preserve">The following agreement about only to include </w:t>
      </w:r>
      <w:r w:rsidR="006049B5">
        <w:t xml:space="preserve">entries with BS size </w:t>
      </w:r>
      <w:r>
        <w:t>&gt;</w:t>
      </w:r>
      <w:r w:rsidR="006049B5">
        <w:t xml:space="preserve"> 0 is currently missing in the running CR</w:t>
      </w:r>
      <w:r>
        <w:t>.</w:t>
      </w:r>
      <w:r w:rsidR="00095F13">
        <w:t xml:space="preserve"> </w:t>
      </w:r>
    </w:p>
    <w:tbl>
      <w:tblPr>
        <w:tblStyle w:val="TableGrid"/>
        <w:tblW w:w="0" w:type="auto"/>
        <w:tblLook w:val="04A0" w:firstRow="1" w:lastRow="0" w:firstColumn="1" w:lastColumn="0" w:noHBand="0" w:noVBand="1"/>
      </w:tblPr>
      <w:tblGrid>
        <w:gridCol w:w="9631"/>
      </w:tblGrid>
      <w:tr w:rsidR="00D655AA" w14:paraId="10824AAB" w14:textId="77777777" w:rsidTr="00D655AA">
        <w:tc>
          <w:tcPr>
            <w:tcW w:w="9631" w:type="dxa"/>
          </w:tcPr>
          <w:p w14:paraId="026DE47C" w14:textId="77777777" w:rsidR="00D655AA" w:rsidRPr="00264B9F" w:rsidRDefault="00D655AA" w:rsidP="005778E4">
            <w:pPr>
              <w:pStyle w:val="Agreement"/>
              <w:ind w:left="360"/>
              <w:rPr>
                <w:lang w:val="en-US"/>
              </w:rPr>
            </w:pPr>
            <w:r w:rsidRPr="00264B9F">
              <w:rPr>
                <w:lang w:val="en-US"/>
              </w:rPr>
              <w:t xml:space="preserve">For Rel-19 DSR, the buffered data is divided into multiple portions based on the multiple </w:t>
            </w:r>
            <w:r>
              <w:rPr>
                <w:lang w:val="en-US"/>
              </w:rPr>
              <w:t>reporting</w:t>
            </w:r>
            <w:r w:rsidRPr="00264B9F">
              <w:rPr>
                <w:lang w:val="en-US"/>
              </w:rPr>
              <w:t xml:space="preserve"> time threshold levels configured for an LCG. The Rel-19 DSR indicates the following information</w:t>
            </w:r>
            <w:r>
              <w:rPr>
                <w:lang w:val="en-US"/>
              </w:rPr>
              <w:t xml:space="preserve"> for each portion for which BS&gt;0</w:t>
            </w:r>
            <w:r w:rsidRPr="00264B9F">
              <w:rPr>
                <w:lang w:val="en-US"/>
              </w:rPr>
              <w:t>:</w:t>
            </w:r>
          </w:p>
          <w:p w14:paraId="4CE30EE3" w14:textId="77777777" w:rsidR="00D655AA" w:rsidRPr="00264B9F" w:rsidRDefault="00D655AA" w:rsidP="005778E4">
            <w:pPr>
              <w:pStyle w:val="Agreement"/>
              <w:numPr>
                <w:ilvl w:val="0"/>
                <w:numId w:val="0"/>
              </w:numPr>
              <w:ind w:left="360"/>
              <w:rPr>
                <w:lang w:val="en-US"/>
              </w:rPr>
            </w:pPr>
            <w:r w:rsidRPr="00264B9F">
              <w:rPr>
                <w:lang w:val="en-US"/>
              </w:rPr>
              <w:t>•</w:t>
            </w:r>
            <w:r w:rsidRPr="00264B9F">
              <w:rPr>
                <w:lang w:val="en-US"/>
              </w:rPr>
              <w:tab/>
              <w:t>Buffer size of data volume in each portion</w:t>
            </w:r>
            <w:r>
              <w:rPr>
                <w:lang w:val="en-US"/>
              </w:rPr>
              <w:t xml:space="preserve"> </w:t>
            </w:r>
          </w:p>
          <w:p w14:paraId="6EDF8871" w14:textId="1CC1D6CC" w:rsidR="00D655AA" w:rsidRDefault="00D655AA" w:rsidP="005778E4">
            <w:pPr>
              <w:pStyle w:val="Agreement"/>
              <w:numPr>
                <w:ilvl w:val="0"/>
                <w:numId w:val="0"/>
              </w:numPr>
              <w:ind w:left="360"/>
              <w:rPr>
                <w:lang w:val="en-US"/>
              </w:rPr>
            </w:pPr>
            <w:r w:rsidRPr="00264B9F">
              <w:rPr>
                <w:lang w:val="en-US"/>
              </w:rPr>
              <w:t>•</w:t>
            </w:r>
            <w:r w:rsidRPr="00264B9F">
              <w:rPr>
                <w:lang w:val="en-US"/>
              </w:rPr>
              <w:tab/>
              <w:t>Shortest remaining time among PDCP SDUs buffered in each portion.</w:t>
            </w:r>
          </w:p>
        </w:tc>
      </w:tr>
    </w:tbl>
    <w:p w14:paraId="34DF657F" w14:textId="0C4580B6" w:rsidR="00864F63" w:rsidRDefault="00AE42DD" w:rsidP="005778E4">
      <w:pPr>
        <w:spacing w:before="120"/>
        <w:jc w:val="both"/>
        <w:rPr>
          <w:lang w:val="en-US"/>
        </w:rPr>
      </w:pPr>
      <w:r>
        <w:t>Some discussions during the running CR review without conclusion as zero size BS is also allowed for Rel-18</w:t>
      </w:r>
      <w:r w:rsidR="00E7616A">
        <w:t>, but it should only be the case when the UE is not able to change DSR during LCP</w:t>
      </w:r>
      <w:r>
        <w:t>. However, we believe it should be made clear that it is not intended behaviour that the UE always reports fixed size DSR with number of configured thresholds even though some of the entries are with BS</w:t>
      </w:r>
      <w:r w:rsidR="008E3EA6">
        <w:t xml:space="preserve"> </w:t>
      </w:r>
      <w:r>
        <w:t xml:space="preserve">zero. </w:t>
      </w:r>
      <w:r w:rsidR="00864F63">
        <w:t>The UE shall not include zero size BS if it is already so</w:t>
      </w:r>
      <w:r w:rsidR="005B7865">
        <w:rPr>
          <w:lang w:val="en-US"/>
        </w:rPr>
        <w:t xml:space="preserve"> based on the buffer status before LCP, better UE implementation can </w:t>
      </w:r>
      <w:r w:rsidR="00D12CD8">
        <w:rPr>
          <w:lang w:val="en-US"/>
        </w:rPr>
        <w:t xml:space="preserve">determine not to include zero BS </w:t>
      </w:r>
      <w:r w:rsidR="005B7865">
        <w:rPr>
          <w:lang w:val="en-US"/>
        </w:rPr>
        <w:t>based on buffer status after LCP</w:t>
      </w:r>
      <w:r w:rsidR="00864F63">
        <w:rPr>
          <w:lang w:val="en-US"/>
        </w:rPr>
        <w:t>.</w:t>
      </w:r>
    </w:p>
    <w:p w14:paraId="40D95C41" w14:textId="6A333AFB" w:rsidR="00CA7CFA" w:rsidRDefault="003C2BD7" w:rsidP="009020E0">
      <w:pPr>
        <w:jc w:val="both"/>
        <w:rPr>
          <w:lang w:val="en-US"/>
        </w:rPr>
      </w:pPr>
      <w:r w:rsidRPr="001D3415">
        <w:rPr>
          <w:b/>
        </w:rPr>
        <w:t xml:space="preserve">Proposal </w:t>
      </w:r>
      <w:r w:rsidR="00984654">
        <w:rPr>
          <w:b/>
        </w:rPr>
        <w:t>4</w:t>
      </w:r>
      <w:r w:rsidRPr="001D3415">
        <w:rPr>
          <w:b/>
        </w:rPr>
        <w:t xml:space="preserve">: </w:t>
      </w:r>
      <w:r w:rsidR="00104BD9" w:rsidRPr="001D3415">
        <w:rPr>
          <w:bCs/>
        </w:rPr>
        <w:t xml:space="preserve">confirm </w:t>
      </w:r>
      <w:r w:rsidR="009018E3" w:rsidRPr="001D3415">
        <w:rPr>
          <w:bCs/>
        </w:rPr>
        <w:t xml:space="preserve">Rel-19 DSR is flexible size </w:t>
      </w:r>
      <w:r w:rsidR="00104BD9" w:rsidRPr="001D3415">
        <w:rPr>
          <w:bCs/>
        </w:rPr>
        <w:t xml:space="preserve">that only reports </w:t>
      </w:r>
      <w:r w:rsidR="005C311F" w:rsidRPr="001D3415">
        <w:rPr>
          <w:bCs/>
        </w:rPr>
        <w:t xml:space="preserve">entries with </w:t>
      </w:r>
      <w:r w:rsidR="00104BD9" w:rsidRPr="001D3415">
        <w:rPr>
          <w:bCs/>
        </w:rPr>
        <w:t>non-zero BS</w:t>
      </w:r>
      <w:r w:rsidR="00327E3B" w:rsidRPr="001D3415">
        <w:rPr>
          <w:bCs/>
        </w:rPr>
        <w:t xml:space="preserve"> (</w:t>
      </w:r>
      <w:r w:rsidR="00235E22" w:rsidRPr="001D3415">
        <w:rPr>
          <w:bCs/>
        </w:rPr>
        <w:t>at least based on the buffer status before LCP, better UE implementation can</w:t>
      </w:r>
      <w:r w:rsidR="005B4E7C" w:rsidRPr="001D3415">
        <w:rPr>
          <w:bCs/>
        </w:rPr>
        <w:t xml:space="preserve"> </w:t>
      </w:r>
      <w:r w:rsidR="00E91BA7" w:rsidRPr="001D3415">
        <w:rPr>
          <w:bCs/>
        </w:rPr>
        <w:t xml:space="preserve">determine not to include zero BS </w:t>
      </w:r>
      <w:r w:rsidR="005B4E7C" w:rsidRPr="001D3415">
        <w:rPr>
          <w:bCs/>
        </w:rPr>
        <w:t>based on buffer status after LCP</w:t>
      </w:r>
      <w:r w:rsidR="00327E3B" w:rsidRPr="001D3415">
        <w:rPr>
          <w:bCs/>
        </w:rPr>
        <w:t>)</w:t>
      </w:r>
      <w:r w:rsidR="00104BD9" w:rsidRPr="001D3415">
        <w:rPr>
          <w:bCs/>
        </w:rPr>
        <w:t>.</w:t>
      </w:r>
    </w:p>
    <w:p w14:paraId="60594DDC" w14:textId="484ADEBB" w:rsidR="00DB5AE0" w:rsidRPr="00DB5AE0" w:rsidRDefault="00DB5AE0" w:rsidP="00DB5AE0">
      <w:pPr>
        <w:keepNext/>
        <w:keepLines/>
        <w:spacing w:before="180"/>
        <w:ind w:left="1134" w:hanging="1134"/>
        <w:outlineLvl w:val="1"/>
        <w:rPr>
          <w:rFonts w:ascii="Arial" w:eastAsia="宋体" w:hAnsi="Arial"/>
          <w:sz w:val="32"/>
        </w:rPr>
      </w:pPr>
      <w:r w:rsidRPr="00DB5AE0">
        <w:rPr>
          <w:rFonts w:ascii="Arial" w:eastAsia="宋体" w:hAnsi="Arial"/>
          <w:sz w:val="32"/>
        </w:rPr>
        <w:t>2.</w:t>
      </w:r>
      <w:r>
        <w:rPr>
          <w:rFonts w:ascii="Arial" w:eastAsia="宋体" w:hAnsi="Arial"/>
          <w:sz w:val="32"/>
        </w:rPr>
        <w:t>4</w:t>
      </w:r>
      <w:r w:rsidRPr="00DB5AE0">
        <w:rPr>
          <w:rFonts w:ascii="Arial" w:eastAsia="宋体" w:hAnsi="Arial"/>
          <w:sz w:val="32"/>
        </w:rPr>
        <w:tab/>
        <w:t>Non-delay critical data ahead in the queue</w:t>
      </w:r>
    </w:p>
    <w:p w14:paraId="5D0CCDFB" w14:textId="77777777" w:rsidR="00DB5AE0" w:rsidRPr="00DB5AE0" w:rsidRDefault="00DB5AE0" w:rsidP="00DB5AE0">
      <w:pPr>
        <w:jc w:val="both"/>
        <w:rPr>
          <w:rFonts w:eastAsia="宋体"/>
        </w:rPr>
      </w:pPr>
      <w:r w:rsidRPr="00DB5AE0">
        <w:rPr>
          <w:rFonts w:eastAsia="宋体"/>
        </w:rPr>
        <w:t xml:space="preserve">Regarding non-delay critical data ahead of delay critical data in the queue, it was agreed in RAN2#128 that the UE may support (UE capability) including non-delay critical data ahead of delay critical data in the buffer size calculation for DSR, which is a capability indicated to the NW. </w:t>
      </w:r>
    </w:p>
    <w:p w14:paraId="4F4706F3" w14:textId="71674D56" w:rsidR="00DB5AE0" w:rsidRPr="00DB5AE0" w:rsidRDefault="00DB5AE0" w:rsidP="00DB5AE0">
      <w:pPr>
        <w:jc w:val="both"/>
        <w:rPr>
          <w:rFonts w:eastAsia="宋体"/>
        </w:rPr>
      </w:pPr>
      <w:r w:rsidRPr="00DB5AE0">
        <w:rPr>
          <w:rFonts w:eastAsia="宋体"/>
        </w:rPr>
        <w:t xml:space="preserve">However, the Rel-19 DSR may also report non-delay critical data </w:t>
      </w:r>
      <w:r w:rsidR="00EB3C73">
        <w:rPr>
          <w:rFonts w:eastAsia="宋体"/>
        </w:rPr>
        <w:t xml:space="preserve">(also called e.g. delay-reporting data) </w:t>
      </w:r>
      <w:r w:rsidRPr="00DB5AE0">
        <w:rPr>
          <w:rFonts w:eastAsia="宋体"/>
        </w:rPr>
        <w:t xml:space="preserve">since the triggering threshold, which is also used for determining if the data is delay critical, may be lower than at least one of the reporting thresholds. </w:t>
      </w:r>
    </w:p>
    <w:p w14:paraId="72E28046" w14:textId="463FB000" w:rsidR="00DB5AE0" w:rsidRPr="00DB5AE0" w:rsidRDefault="00DB5AE0" w:rsidP="00DB5AE0">
      <w:pPr>
        <w:jc w:val="both"/>
        <w:rPr>
          <w:rFonts w:eastAsia="宋体"/>
        </w:rPr>
      </w:pPr>
      <w:r w:rsidRPr="00DB5AE0">
        <w:rPr>
          <w:rFonts w:eastAsia="宋体"/>
        </w:rPr>
        <w:t>Therefore, the RAN#128 agreement on non-delay critical data ahead of delay critical data should be generalized to non-delay critical data ahead of non-delay critical</w:t>
      </w:r>
      <w:r w:rsidR="005778E4">
        <w:rPr>
          <w:rFonts w:eastAsia="宋体"/>
        </w:rPr>
        <w:t xml:space="preserve"> data, e.g. delay</w:t>
      </w:r>
      <w:r w:rsidR="00EB3C73">
        <w:rPr>
          <w:rFonts w:eastAsia="宋体"/>
        </w:rPr>
        <w:t xml:space="preserve"> </w:t>
      </w:r>
      <w:r w:rsidR="005778E4">
        <w:rPr>
          <w:rFonts w:eastAsia="宋体"/>
        </w:rPr>
        <w:t>reporting data</w:t>
      </w:r>
      <w:r w:rsidRPr="00DB5AE0">
        <w:rPr>
          <w:rFonts w:eastAsia="宋体"/>
        </w:rPr>
        <w:t>. E.g., the buffer size calculation for a given remaining time range should also include data that is ahead of any PDU whose associated remaining time is within the reported remaining time range.</w:t>
      </w:r>
      <w:r w:rsidR="00DC7F8F">
        <w:rPr>
          <w:rFonts w:eastAsia="宋体"/>
        </w:rPr>
        <w:t xml:space="preserve"> </w:t>
      </w:r>
    </w:p>
    <w:p w14:paraId="76600220" w14:textId="62C90694" w:rsidR="00DB5AE0" w:rsidRPr="00DB5AE0" w:rsidRDefault="00DC7F8F" w:rsidP="00DB5AE0">
      <w:pPr>
        <w:jc w:val="both"/>
        <w:rPr>
          <w:rFonts w:eastAsia="宋体"/>
        </w:rPr>
      </w:pPr>
      <w:r w:rsidRPr="00786034">
        <w:rPr>
          <w:rFonts w:eastAsia="宋体"/>
        </w:rPr>
        <w:t>During the PDCP running CR discussions, there were different understandings on how it works with PDU set.</w:t>
      </w:r>
      <w:r>
        <w:rPr>
          <w:rFonts w:eastAsia="宋体"/>
        </w:rPr>
        <w:t xml:space="preserve"> </w:t>
      </w:r>
      <w:r w:rsidR="00DB5AE0" w:rsidRPr="00DB5AE0">
        <w:rPr>
          <w:rFonts w:eastAsia="宋体"/>
        </w:rPr>
        <w:t>To better illustrate this, let’s consider an example where data belonging to different PDU sets (PDU set#0, #1, and #2 in Figure2.</w:t>
      </w:r>
      <w:r w:rsidR="00DB5AE0" w:rsidRPr="00DB5AE0" w:rsidDel="001E0250">
        <w:rPr>
          <w:rFonts w:eastAsia="宋体"/>
        </w:rPr>
        <w:t xml:space="preserve">2-1) </w:t>
      </w:r>
      <w:r w:rsidR="00DB5AE0" w:rsidRPr="00DB5AE0">
        <w:rPr>
          <w:rFonts w:eastAsia="宋体"/>
        </w:rPr>
        <w:t>arrive in the UE buffer interlaced. We assume that PDU set based discard (pdu-SetDiscard-r18) is configured.</w:t>
      </w:r>
    </w:p>
    <w:p w14:paraId="5C3E79D6" w14:textId="77777777" w:rsidR="00DB5AE0" w:rsidRPr="00DB5AE0" w:rsidRDefault="00DB5AE0" w:rsidP="00DB5AE0">
      <w:pPr>
        <w:keepLines/>
        <w:spacing w:after="240"/>
        <w:jc w:val="center"/>
        <w:rPr>
          <w:rFonts w:ascii="Arial" w:eastAsia="宋体" w:hAnsi="Arial"/>
          <w:b/>
        </w:rPr>
      </w:pPr>
      <w:r w:rsidRPr="00DB5AE0">
        <w:rPr>
          <w:rFonts w:ascii="Arial" w:eastAsia="宋体" w:hAnsi="Arial"/>
          <w:b/>
          <w:noProof/>
        </w:rPr>
        <w:drawing>
          <wp:inline distT="0" distB="0" distL="0" distR="0" wp14:anchorId="6B6721D1" wp14:editId="6E894C47">
            <wp:extent cx="6110449" cy="3420000"/>
            <wp:effectExtent l="0" t="0" r="0" b="9525"/>
            <wp:docPr id="1443474420"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474420" name="Picture 1" descr="A screenshot of a computer&#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0449" cy="3420000"/>
                    </a:xfrm>
                    <a:prstGeom prst="rect">
                      <a:avLst/>
                    </a:prstGeom>
                    <a:noFill/>
                  </pic:spPr>
                </pic:pic>
              </a:graphicData>
            </a:graphic>
          </wp:inline>
        </w:drawing>
      </w:r>
    </w:p>
    <w:p w14:paraId="63D4FC74" w14:textId="77777777" w:rsidR="00DB5AE0" w:rsidRPr="00DB5AE0" w:rsidRDefault="00DB5AE0" w:rsidP="00DB5AE0">
      <w:pPr>
        <w:keepLines/>
        <w:spacing w:after="240"/>
        <w:jc w:val="center"/>
        <w:rPr>
          <w:rFonts w:ascii="Arial" w:eastAsia="宋体" w:hAnsi="Arial"/>
          <w:b/>
        </w:rPr>
      </w:pPr>
      <w:r w:rsidRPr="00DB5AE0">
        <w:rPr>
          <w:rFonts w:ascii="Arial" w:eastAsia="宋体" w:hAnsi="Arial"/>
          <w:b/>
        </w:rPr>
        <w:t>Figure 2.2-1: DSR with low-importance and high-importance data  </w:t>
      </w:r>
    </w:p>
    <w:p w14:paraId="7CE5D5B0" w14:textId="77777777" w:rsidR="00DB5AE0" w:rsidRPr="00DB5AE0" w:rsidRDefault="00DB5AE0" w:rsidP="00DB5AE0">
      <w:pPr>
        <w:jc w:val="both"/>
        <w:rPr>
          <w:rFonts w:eastAsia="宋体"/>
        </w:rPr>
      </w:pPr>
      <w:r w:rsidRPr="00DB5AE0">
        <w:rPr>
          <w:rFonts w:eastAsia="宋体"/>
        </w:rPr>
        <w:t xml:space="preserve">In the example, the UE is configured with 3 reporting thresholds: </w:t>
      </w:r>
      <m:oMath>
        <m:sSub>
          <m:sSubPr>
            <m:ctrlPr>
              <w:rPr>
                <w:rFonts w:ascii="Cambria Math" w:eastAsia="宋体" w:hAnsi="Cambria Math"/>
                <w:i/>
              </w:rPr>
            </m:ctrlPr>
          </m:sSubPr>
          <m:e>
            <m:r>
              <w:rPr>
                <w:rFonts w:ascii="Cambria Math" w:eastAsia="宋体" w:hAnsi="Cambria Math"/>
              </w:rPr>
              <m:t>RT</m:t>
            </m:r>
          </m:e>
          <m:sub>
            <m:r>
              <w:rPr>
                <w:rFonts w:ascii="Cambria Math" w:eastAsia="宋体" w:hAnsi="Cambria Math"/>
              </w:rPr>
              <m:t>T0</m:t>
            </m:r>
          </m:sub>
        </m:sSub>
      </m:oMath>
      <w:r w:rsidRPr="00DB5AE0">
        <w:rPr>
          <w:rFonts w:eastAsia="宋体"/>
        </w:rPr>
        <w:t xml:space="preserve">, </w:t>
      </w:r>
      <m:oMath>
        <m:sSub>
          <m:sSubPr>
            <m:ctrlPr>
              <w:rPr>
                <w:rFonts w:ascii="Cambria Math" w:eastAsia="宋体" w:hAnsi="Cambria Math"/>
                <w:i/>
              </w:rPr>
            </m:ctrlPr>
          </m:sSubPr>
          <m:e>
            <m:r>
              <w:rPr>
                <w:rFonts w:ascii="Cambria Math" w:eastAsia="宋体" w:hAnsi="Cambria Math"/>
              </w:rPr>
              <m:t>RT</m:t>
            </m:r>
          </m:e>
          <m:sub>
            <m:r>
              <w:rPr>
                <w:rFonts w:ascii="Cambria Math" w:eastAsia="宋体" w:hAnsi="Cambria Math"/>
              </w:rPr>
              <m:t>T1</m:t>
            </m:r>
          </m:sub>
        </m:sSub>
      </m:oMath>
      <w:r w:rsidRPr="00DB5AE0">
        <w:rPr>
          <w:rFonts w:eastAsia="宋体"/>
        </w:rPr>
        <w:t xml:space="preserve"> and </w:t>
      </w:r>
      <m:oMath>
        <m:sSub>
          <m:sSubPr>
            <m:ctrlPr>
              <w:rPr>
                <w:rFonts w:ascii="Cambria Math" w:eastAsia="宋体" w:hAnsi="Cambria Math"/>
                <w:i/>
              </w:rPr>
            </m:ctrlPr>
          </m:sSubPr>
          <m:e>
            <m:r>
              <w:rPr>
                <w:rFonts w:ascii="Cambria Math" w:eastAsia="宋体" w:hAnsi="Cambria Math"/>
              </w:rPr>
              <m:t>RT</m:t>
            </m:r>
          </m:e>
          <m:sub>
            <m:r>
              <w:rPr>
                <w:rFonts w:ascii="Cambria Math" w:eastAsia="宋体" w:hAnsi="Cambria Math"/>
              </w:rPr>
              <m:t>T2</m:t>
            </m:r>
          </m:sub>
        </m:sSub>
      </m:oMath>
      <w:r w:rsidRPr="00DB5AE0">
        <w:rPr>
          <w:rFonts w:eastAsia="宋体"/>
        </w:rPr>
        <w:t xml:space="preserve">. The triggering threshold is assumed to be equal to </w:t>
      </w:r>
      <m:oMath>
        <m:sSub>
          <m:sSubPr>
            <m:ctrlPr>
              <w:rPr>
                <w:rFonts w:ascii="Cambria Math" w:eastAsia="宋体" w:hAnsi="Cambria Math"/>
                <w:i/>
              </w:rPr>
            </m:ctrlPr>
          </m:sSubPr>
          <m:e>
            <m:r>
              <w:rPr>
                <w:rFonts w:ascii="Cambria Math" w:eastAsia="宋体" w:hAnsi="Cambria Math"/>
              </w:rPr>
              <m:t>RT</m:t>
            </m:r>
          </m:e>
          <m:sub>
            <m:r>
              <w:rPr>
                <w:rFonts w:ascii="Cambria Math" w:eastAsia="宋体" w:hAnsi="Cambria Math"/>
              </w:rPr>
              <m:t>T0</m:t>
            </m:r>
          </m:sub>
        </m:sSub>
      </m:oMath>
      <w:r w:rsidRPr="00DB5AE0">
        <w:rPr>
          <w:rFonts w:eastAsia="宋体"/>
        </w:rPr>
        <w:t xml:space="preserve">. When the DSR is triggered, there is data of PDU set #1 (i.e. PDU #4), whose associated remaining time </w:t>
      </w:r>
      <m:oMath>
        <m:sSub>
          <m:sSubPr>
            <m:ctrlPr>
              <w:rPr>
                <w:rFonts w:ascii="Cambria Math" w:eastAsia="宋体" w:hAnsi="Cambria Math"/>
                <w:i/>
              </w:rPr>
            </m:ctrlPr>
          </m:sSubPr>
          <m:e>
            <m:r>
              <w:rPr>
                <w:rFonts w:ascii="Cambria Math" w:eastAsia="宋体" w:hAnsi="Cambria Math"/>
              </w:rPr>
              <m:t>RT</m:t>
            </m:r>
          </m:e>
          <m:sub>
            <m:r>
              <w:rPr>
                <w:rFonts w:ascii="Cambria Math" w:eastAsia="宋体" w:hAnsi="Cambria Math"/>
              </w:rPr>
              <m:t>2</m:t>
            </m:r>
          </m:sub>
        </m:sSub>
      </m:oMath>
      <w:r w:rsidRPr="00DB5AE0">
        <w:rPr>
          <w:rFonts w:eastAsia="宋体"/>
        </w:rPr>
        <w:t xml:space="preserve"> is in the range [</w:t>
      </w:r>
      <m:oMath>
        <m:sSub>
          <m:sSubPr>
            <m:ctrlPr>
              <w:rPr>
                <w:rFonts w:ascii="Cambria Math" w:eastAsia="宋体" w:hAnsi="Cambria Math"/>
                <w:i/>
              </w:rPr>
            </m:ctrlPr>
          </m:sSubPr>
          <m:e>
            <m:r>
              <w:rPr>
                <w:rFonts w:ascii="Cambria Math" w:eastAsia="宋体" w:hAnsi="Cambria Math"/>
              </w:rPr>
              <m:t>RT</m:t>
            </m:r>
          </m:e>
          <m:sub>
            <m:r>
              <w:rPr>
                <w:rFonts w:ascii="Cambria Math" w:eastAsia="宋体" w:hAnsi="Cambria Math"/>
              </w:rPr>
              <m:t>T0</m:t>
            </m:r>
          </m:sub>
        </m:sSub>
        <m:r>
          <w:rPr>
            <w:rFonts w:ascii="Cambria Math" w:eastAsia="宋体" w:hAnsi="Cambria Math"/>
          </w:rPr>
          <m:t xml:space="preserve">, </m:t>
        </m:r>
        <m:sSub>
          <m:sSubPr>
            <m:ctrlPr>
              <w:rPr>
                <w:rFonts w:ascii="Cambria Math" w:eastAsia="宋体" w:hAnsi="Cambria Math"/>
                <w:i/>
              </w:rPr>
            </m:ctrlPr>
          </m:sSubPr>
          <m:e>
            <m:r>
              <w:rPr>
                <w:rFonts w:ascii="Cambria Math" w:eastAsia="宋体" w:hAnsi="Cambria Math"/>
              </w:rPr>
              <m:t>RT</m:t>
            </m:r>
          </m:e>
          <m:sub>
            <m:r>
              <w:rPr>
                <w:rFonts w:ascii="Cambria Math" w:eastAsia="宋体" w:hAnsi="Cambria Math"/>
              </w:rPr>
              <m:t>T1</m:t>
            </m:r>
          </m:sub>
        </m:sSub>
      </m:oMath>
      <w:r w:rsidRPr="00DB5AE0">
        <w:rPr>
          <w:rFonts w:eastAsia="宋体"/>
        </w:rPr>
        <w:t xml:space="preserve">), which is ahead of data of PDU set#0, whose associated remaining time </w:t>
      </w:r>
      <w:r w:rsidRPr="00DB5AE0">
        <w:rPr>
          <w:rFonts w:ascii="Cambria Math" w:eastAsia="宋体" w:hAnsi="Cambria Math"/>
          <w:i/>
        </w:rPr>
        <w:br/>
      </w:r>
      <m:oMath>
        <m:sSub>
          <m:sSubPr>
            <m:ctrlPr>
              <w:rPr>
                <w:rFonts w:ascii="Cambria Math" w:eastAsia="宋体" w:hAnsi="Cambria Math"/>
                <w:i/>
              </w:rPr>
            </m:ctrlPr>
          </m:sSubPr>
          <m:e>
            <m:r>
              <w:rPr>
                <w:rFonts w:ascii="Cambria Math" w:eastAsia="宋体" w:hAnsi="Cambria Math"/>
              </w:rPr>
              <m:t>RT</m:t>
            </m:r>
          </m:e>
          <m:sub>
            <m:r>
              <w:rPr>
                <w:rFonts w:ascii="Cambria Math" w:eastAsia="宋体" w:hAnsi="Cambria Math"/>
              </w:rPr>
              <m:t>0</m:t>
            </m:r>
          </m:sub>
        </m:sSub>
      </m:oMath>
      <w:r w:rsidRPr="00DB5AE0">
        <w:rPr>
          <w:rFonts w:ascii="Cambria Math" w:eastAsia="宋体" w:hAnsi="Cambria Math"/>
          <w:i/>
        </w:rPr>
        <w:t xml:space="preserve"> </w:t>
      </w:r>
      <w:r w:rsidRPr="00DB5AE0">
        <w:rPr>
          <w:rFonts w:eastAsia="宋体"/>
        </w:rPr>
        <w:t>is in the range [</w:t>
      </w:r>
      <m:oMath>
        <m:r>
          <w:rPr>
            <w:rFonts w:ascii="Cambria Math" w:eastAsia="宋体" w:hAnsi="Cambria Math"/>
          </w:rPr>
          <m:t xml:space="preserve">0, </m:t>
        </m:r>
        <m:sSub>
          <m:sSubPr>
            <m:ctrlPr>
              <w:rPr>
                <w:rFonts w:ascii="Cambria Math" w:eastAsia="宋体" w:hAnsi="Cambria Math"/>
                <w:i/>
              </w:rPr>
            </m:ctrlPr>
          </m:sSubPr>
          <m:e>
            <m:r>
              <w:rPr>
                <w:rFonts w:ascii="Cambria Math" w:eastAsia="宋体" w:hAnsi="Cambria Math"/>
              </w:rPr>
              <m:t>RT</m:t>
            </m:r>
          </m:e>
          <m:sub>
            <m:r>
              <w:rPr>
                <w:rFonts w:ascii="Cambria Math" w:eastAsia="宋体" w:hAnsi="Cambria Math"/>
              </w:rPr>
              <m:t>T0</m:t>
            </m:r>
          </m:sub>
        </m:sSub>
      </m:oMath>
      <w:r w:rsidRPr="00DB5AE0">
        <w:rPr>
          <w:rFonts w:eastAsia="宋体"/>
        </w:rPr>
        <w:t>). If the data ahead of PDU #4 with remaining time larger than the remaining time of PDU #4 (i.e. PDUs #2 and #3) is not included in the BS calculation of the range [</w:t>
      </w:r>
      <m:oMath>
        <m:sSub>
          <m:sSubPr>
            <m:ctrlPr>
              <w:rPr>
                <w:rFonts w:ascii="Cambria Math" w:eastAsia="宋体" w:hAnsi="Cambria Math"/>
                <w:i/>
              </w:rPr>
            </m:ctrlPr>
          </m:sSubPr>
          <m:e>
            <m:r>
              <w:rPr>
                <w:rFonts w:ascii="Cambria Math" w:eastAsia="宋体" w:hAnsi="Cambria Math"/>
              </w:rPr>
              <m:t>RT</m:t>
            </m:r>
          </m:e>
          <m:sub>
            <m:r>
              <w:rPr>
                <w:rFonts w:ascii="Cambria Math" w:eastAsia="宋体" w:hAnsi="Cambria Math"/>
              </w:rPr>
              <m:t>T0</m:t>
            </m:r>
          </m:sub>
        </m:sSub>
        <m:r>
          <w:rPr>
            <w:rFonts w:ascii="Cambria Math" w:eastAsia="宋体" w:hAnsi="Cambria Math"/>
          </w:rPr>
          <m:t xml:space="preserve">, </m:t>
        </m:r>
        <m:sSub>
          <m:sSubPr>
            <m:ctrlPr>
              <w:rPr>
                <w:rFonts w:ascii="Cambria Math" w:eastAsia="宋体" w:hAnsi="Cambria Math"/>
                <w:i/>
              </w:rPr>
            </m:ctrlPr>
          </m:sSubPr>
          <m:e>
            <m:r>
              <w:rPr>
                <w:rFonts w:ascii="Cambria Math" w:eastAsia="宋体" w:hAnsi="Cambria Math"/>
              </w:rPr>
              <m:t>RT</m:t>
            </m:r>
          </m:e>
          <m:sub>
            <m:r>
              <w:rPr>
                <w:rFonts w:ascii="Cambria Math" w:eastAsia="宋体" w:hAnsi="Cambria Math"/>
              </w:rPr>
              <m:t>T1</m:t>
            </m:r>
          </m:sub>
        </m:sSub>
      </m:oMath>
      <w:r w:rsidRPr="00DB5AE0">
        <w:rPr>
          <w:rFonts w:eastAsia="宋体"/>
        </w:rPr>
        <w:t>), then the DSR with multiple reporting thresholds would look like the one depicted in Table 2.2-1.</w:t>
      </w:r>
    </w:p>
    <w:p w14:paraId="1843C231" w14:textId="77777777" w:rsidR="00DB5AE0" w:rsidRPr="00DB5AE0" w:rsidRDefault="00DB5AE0" w:rsidP="00DB5AE0">
      <w:pPr>
        <w:keepNext/>
        <w:keepLines/>
        <w:spacing w:before="60"/>
        <w:jc w:val="center"/>
        <w:rPr>
          <w:rFonts w:ascii="Arial" w:eastAsia="宋体" w:hAnsi="Arial"/>
          <w:b/>
        </w:rPr>
      </w:pPr>
      <w:r w:rsidRPr="00DB5AE0">
        <w:rPr>
          <w:rFonts w:ascii="Arial" w:eastAsia="宋体" w:hAnsi="Arial"/>
          <w:b/>
        </w:rPr>
        <w:t>Table 2.2-1: Buffer size in multiple reporting thresholds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096"/>
        <w:gridCol w:w="2853"/>
        <w:gridCol w:w="2025"/>
      </w:tblGrid>
      <w:tr w:rsidR="00DB5AE0" w:rsidRPr="00DB5AE0" w14:paraId="28F29075" w14:textId="77777777" w:rsidTr="00032517">
        <w:trPr>
          <w:trHeight w:val="240"/>
          <w:jc w:val="center"/>
        </w:trPr>
        <w:tc>
          <w:tcPr>
            <w:tcW w:w="3096" w:type="dxa"/>
            <w:tcBorders>
              <w:top w:val="single" w:sz="4" w:space="0" w:color="auto"/>
              <w:left w:val="single" w:sz="4" w:space="0" w:color="auto"/>
              <w:bottom w:val="single" w:sz="4" w:space="0" w:color="auto"/>
              <w:right w:val="single" w:sz="4" w:space="0" w:color="auto"/>
            </w:tcBorders>
            <w:noWrap/>
            <w:vAlign w:val="bottom"/>
          </w:tcPr>
          <w:p w14:paraId="7A7D9203" w14:textId="77777777" w:rsidR="00DB5AE0" w:rsidRPr="00DB5AE0" w:rsidRDefault="00DB5AE0" w:rsidP="00DB5AE0">
            <w:pPr>
              <w:keepNext/>
              <w:keepLines/>
              <w:spacing w:before="20" w:after="20"/>
              <w:ind w:left="57" w:right="57"/>
              <w:jc w:val="center"/>
              <w:rPr>
                <w:rFonts w:ascii="Arial" w:eastAsia="宋体" w:hAnsi="Arial" w:cs="Arial"/>
                <w:b/>
                <w:sz w:val="18"/>
                <w:szCs w:val="18"/>
              </w:rPr>
            </w:pPr>
            <w:r w:rsidRPr="00DB5AE0">
              <w:rPr>
                <w:rFonts w:ascii="Arial" w:eastAsia="宋体" w:hAnsi="Arial" w:cs="Arial"/>
                <w:b/>
                <w:sz w:val="18"/>
                <w:szCs w:val="18"/>
              </w:rPr>
              <w:t>Remaining Time range</w:t>
            </w:r>
          </w:p>
        </w:tc>
        <w:tc>
          <w:tcPr>
            <w:tcW w:w="2853" w:type="dxa"/>
            <w:tcBorders>
              <w:top w:val="single" w:sz="4" w:space="0" w:color="auto"/>
              <w:left w:val="single" w:sz="4" w:space="0" w:color="auto"/>
              <w:bottom w:val="single" w:sz="4" w:space="0" w:color="auto"/>
              <w:right w:val="single" w:sz="4" w:space="0" w:color="auto"/>
            </w:tcBorders>
          </w:tcPr>
          <w:p w14:paraId="3E57707B" w14:textId="77777777" w:rsidR="00DB5AE0" w:rsidRPr="00DB5AE0" w:rsidRDefault="00DB5AE0" w:rsidP="00DB5AE0">
            <w:pPr>
              <w:keepNext/>
              <w:keepLines/>
              <w:spacing w:before="20" w:after="20"/>
              <w:ind w:left="57" w:right="57"/>
              <w:jc w:val="center"/>
              <w:rPr>
                <w:rFonts w:ascii="Arial" w:eastAsia="宋体" w:hAnsi="Arial"/>
                <w:b/>
                <w:sz w:val="18"/>
              </w:rPr>
            </w:pPr>
            <w:r w:rsidRPr="00DB5AE0">
              <w:rPr>
                <w:rFonts w:ascii="Arial" w:eastAsia="宋体" w:hAnsi="Arial"/>
                <w:b/>
                <w:sz w:val="18"/>
              </w:rPr>
              <w:t>Reported Remaining Time</w:t>
            </w:r>
          </w:p>
        </w:tc>
        <w:tc>
          <w:tcPr>
            <w:tcW w:w="2025" w:type="dxa"/>
            <w:tcBorders>
              <w:top w:val="single" w:sz="4" w:space="0" w:color="auto"/>
              <w:left w:val="single" w:sz="4" w:space="0" w:color="auto"/>
              <w:bottom w:val="single" w:sz="4" w:space="0" w:color="auto"/>
              <w:right w:val="single" w:sz="4" w:space="0" w:color="auto"/>
            </w:tcBorders>
            <w:vAlign w:val="bottom"/>
          </w:tcPr>
          <w:p w14:paraId="3B82EE09" w14:textId="77777777" w:rsidR="00DB5AE0" w:rsidRPr="00DB5AE0" w:rsidRDefault="00DB5AE0" w:rsidP="00DB5AE0">
            <w:pPr>
              <w:keepNext/>
              <w:keepLines/>
              <w:spacing w:before="20" w:after="20"/>
              <w:ind w:left="57" w:right="57"/>
              <w:jc w:val="center"/>
              <w:rPr>
                <w:rFonts w:ascii="Arial" w:eastAsia="宋体" w:hAnsi="Arial"/>
                <w:b/>
                <w:sz w:val="18"/>
              </w:rPr>
            </w:pPr>
            <w:r w:rsidRPr="00DB5AE0">
              <w:rPr>
                <w:rFonts w:ascii="Arial" w:eastAsia="宋体" w:hAnsi="Arial"/>
                <w:b/>
                <w:sz w:val="18"/>
              </w:rPr>
              <w:t>Reported Buffer Size</w:t>
            </w:r>
          </w:p>
        </w:tc>
      </w:tr>
      <w:tr w:rsidR="00DB5AE0" w:rsidRPr="00DB5AE0" w14:paraId="7D45DA27" w14:textId="77777777" w:rsidTr="00032517">
        <w:trPr>
          <w:trHeight w:val="240"/>
          <w:jc w:val="center"/>
        </w:trPr>
        <w:tc>
          <w:tcPr>
            <w:tcW w:w="3096" w:type="dxa"/>
            <w:tcBorders>
              <w:top w:val="single" w:sz="4" w:space="0" w:color="auto"/>
              <w:left w:val="single" w:sz="4" w:space="0" w:color="auto"/>
              <w:bottom w:val="single" w:sz="4" w:space="0" w:color="auto"/>
              <w:right w:val="single" w:sz="4" w:space="0" w:color="auto"/>
            </w:tcBorders>
            <w:noWrap/>
          </w:tcPr>
          <w:p w14:paraId="7C9CB363" w14:textId="77777777" w:rsidR="00DB5AE0" w:rsidRPr="00DB5AE0" w:rsidRDefault="00DB5AE0" w:rsidP="00DB5AE0">
            <w:pPr>
              <w:keepNext/>
              <w:keepLines/>
              <w:spacing w:before="20" w:after="20"/>
              <w:ind w:left="57" w:right="57"/>
              <w:jc w:val="center"/>
              <w:rPr>
                <w:rFonts w:ascii="Arial" w:eastAsia="宋体" w:hAnsi="Arial"/>
                <w:sz w:val="18"/>
              </w:rPr>
            </w:pPr>
            <m:oMathPara>
              <m:oMath>
                <m:r>
                  <w:rPr>
                    <w:rFonts w:ascii="Cambria Math" w:eastAsia="宋体" w:hAnsi="Cambria Math"/>
                  </w:rPr>
                  <m:t>[0,</m:t>
                </m:r>
                <m:sSub>
                  <m:sSubPr>
                    <m:ctrlPr>
                      <w:rPr>
                        <w:rFonts w:ascii="Cambria Math" w:eastAsia="宋体" w:hAnsi="Cambria Math"/>
                        <w:i/>
                      </w:rPr>
                    </m:ctrlPr>
                  </m:sSubPr>
                  <m:e>
                    <m:r>
                      <w:rPr>
                        <w:rFonts w:ascii="Cambria Math" w:eastAsia="宋体" w:hAnsi="Cambria Math"/>
                        <w:sz w:val="18"/>
                      </w:rPr>
                      <m:t>RT</m:t>
                    </m:r>
                  </m:e>
                  <m:sub>
                    <m:r>
                      <w:rPr>
                        <w:rFonts w:ascii="Cambria Math" w:eastAsia="宋体" w:hAnsi="Cambria Math"/>
                        <w:sz w:val="18"/>
                      </w:rPr>
                      <m:t>T0</m:t>
                    </m:r>
                  </m:sub>
                </m:sSub>
                <m:r>
                  <w:rPr>
                    <w:rFonts w:ascii="Cambria Math" w:eastAsia="宋体" w:hAnsi="Cambria Math"/>
                  </w:rPr>
                  <m:t>)</m:t>
                </m:r>
              </m:oMath>
            </m:oMathPara>
          </w:p>
        </w:tc>
        <w:tc>
          <w:tcPr>
            <w:tcW w:w="2853" w:type="dxa"/>
            <w:tcBorders>
              <w:top w:val="single" w:sz="4" w:space="0" w:color="auto"/>
              <w:left w:val="single" w:sz="4" w:space="0" w:color="auto"/>
              <w:bottom w:val="single" w:sz="4" w:space="0" w:color="auto"/>
              <w:right w:val="single" w:sz="4" w:space="0" w:color="auto"/>
            </w:tcBorders>
          </w:tcPr>
          <w:p w14:paraId="229AE9D5" w14:textId="77777777" w:rsidR="00DB5AE0" w:rsidRPr="00DB5AE0" w:rsidRDefault="004F38C0" w:rsidP="00DB5AE0">
            <w:pPr>
              <w:keepNext/>
              <w:keepLines/>
              <w:spacing w:before="20" w:after="20"/>
              <w:ind w:left="57" w:right="57"/>
              <w:jc w:val="center"/>
              <w:rPr>
                <w:rFonts w:ascii="Arial" w:eastAsia="宋体" w:hAnsi="Arial"/>
                <w:sz w:val="18"/>
              </w:rPr>
            </w:pPr>
            <m:oMathPara>
              <m:oMath>
                <m:sSub>
                  <m:sSubPr>
                    <m:ctrlPr>
                      <w:rPr>
                        <w:rFonts w:ascii="Cambria Math" w:eastAsia="宋体" w:hAnsi="Cambria Math"/>
                        <w:i/>
                      </w:rPr>
                    </m:ctrlPr>
                  </m:sSubPr>
                  <m:e>
                    <m:r>
                      <w:rPr>
                        <w:rFonts w:ascii="Cambria Math" w:eastAsia="宋体" w:hAnsi="Cambria Math"/>
                        <w:sz w:val="18"/>
                      </w:rPr>
                      <m:t>RT</m:t>
                    </m:r>
                  </m:e>
                  <m:sub>
                    <m:r>
                      <w:rPr>
                        <w:rFonts w:ascii="Cambria Math" w:eastAsia="宋体" w:hAnsi="Cambria Math"/>
                        <w:sz w:val="18"/>
                      </w:rPr>
                      <m:t>0</m:t>
                    </m:r>
                  </m:sub>
                </m:sSub>
              </m:oMath>
            </m:oMathPara>
          </w:p>
        </w:tc>
        <w:tc>
          <w:tcPr>
            <w:tcW w:w="2025" w:type="dxa"/>
            <w:tcBorders>
              <w:top w:val="single" w:sz="4" w:space="0" w:color="auto"/>
              <w:left w:val="single" w:sz="4" w:space="0" w:color="auto"/>
              <w:bottom w:val="single" w:sz="4" w:space="0" w:color="auto"/>
              <w:right w:val="single" w:sz="4" w:space="0" w:color="auto"/>
            </w:tcBorders>
            <w:vAlign w:val="bottom"/>
          </w:tcPr>
          <w:p w14:paraId="2C095670" w14:textId="77777777" w:rsidR="00DB5AE0" w:rsidRPr="00DB5AE0" w:rsidRDefault="004F38C0" w:rsidP="00DB5AE0">
            <w:pPr>
              <w:keepNext/>
              <w:keepLines/>
              <w:spacing w:before="20" w:after="20"/>
              <w:ind w:left="57" w:right="57"/>
              <w:jc w:val="center"/>
              <w:rPr>
                <w:rFonts w:ascii="Arial" w:eastAsia="宋体" w:hAnsi="Arial"/>
                <w:sz w:val="18"/>
              </w:rPr>
            </w:pPr>
            <m:oMathPara>
              <m:oMath>
                <m:sSub>
                  <m:sSubPr>
                    <m:ctrlPr>
                      <w:rPr>
                        <w:rFonts w:ascii="Cambria Math" w:eastAsia="宋体" w:hAnsi="Cambria Math"/>
                        <w:i/>
                        <w:sz w:val="18"/>
                      </w:rPr>
                    </m:ctrlPr>
                  </m:sSubPr>
                  <m:e>
                    <m:r>
                      <w:rPr>
                        <w:rFonts w:ascii="Cambria Math" w:eastAsia="宋体" w:hAnsi="Cambria Math"/>
                        <w:sz w:val="18"/>
                      </w:rPr>
                      <m:t>S</m:t>
                    </m:r>
                  </m:e>
                  <m:sub>
                    <m:r>
                      <w:rPr>
                        <w:rFonts w:ascii="Cambria Math" w:eastAsia="宋体" w:hAnsi="Cambria Math"/>
                        <w:sz w:val="18"/>
                      </w:rPr>
                      <m:t>0</m:t>
                    </m:r>
                  </m:sub>
                </m:sSub>
                <m:r>
                  <w:rPr>
                    <w:rFonts w:ascii="Cambria Math" w:eastAsia="宋体" w:hAnsi="Cambria Math"/>
                    <w:sz w:val="18"/>
                  </w:rPr>
                  <m:t>+</m:t>
                </m:r>
                <m:sSub>
                  <m:sSubPr>
                    <m:ctrlPr>
                      <w:rPr>
                        <w:rFonts w:ascii="Cambria Math" w:eastAsia="宋体" w:hAnsi="Cambria Math"/>
                        <w:i/>
                        <w:sz w:val="18"/>
                      </w:rPr>
                    </m:ctrlPr>
                  </m:sSubPr>
                  <m:e>
                    <m:r>
                      <w:rPr>
                        <w:rFonts w:ascii="Cambria Math" w:eastAsia="宋体" w:hAnsi="Cambria Math"/>
                        <w:sz w:val="18"/>
                      </w:rPr>
                      <m:t>S</m:t>
                    </m:r>
                  </m:e>
                  <m:sub>
                    <m:r>
                      <w:rPr>
                        <w:rFonts w:ascii="Cambria Math" w:eastAsia="宋体" w:hAnsi="Cambria Math"/>
                        <w:sz w:val="18"/>
                      </w:rPr>
                      <m:t>1</m:t>
                    </m:r>
                  </m:sub>
                </m:sSub>
                <m:r>
                  <w:rPr>
                    <w:rFonts w:ascii="Cambria Math" w:eastAsia="宋体" w:hAnsi="Cambria Math"/>
                    <w:sz w:val="18"/>
                  </w:rPr>
                  <m:t>+</m:t>
                </m:r>
                <m:sSub>
                  <m:sSubPr>
                    <m:ctrlPr>
                      <w:rPr>
                        <w:rFonts w:ascii="Cambria Math" w:eastAsia="宋体" w:hAnsi="Cambria Math"/>
                        <w:i/>
                        <w:sz w:val="18"/>
                      </w:rPr>
                    </m:ctrlPr>
                  </m:sSubPr>
                  <m:e>
                    <m:r>
                      <w:rPr>
                        <w:rFonts w:ascii="Cambria Math" w:eastAsia="宋体" w:hAnsi="Cambria Math"/>
                        <w:sz w:val="18"/>
                      </w:rPr>
                      <m:t>S</m:t>
                    </m:r>
                  </m:e>
                  <m:sub>
                    <m:r>
                      <w:rPr>
                        <w:rFonts w:ascii="Cambria Math" w:eastAsia="宋体" w:hAnsi="Cambria Math"/>
                        <w:sz w:val="18"/>
                      </w:rPr>
                      <m:t>4</m:t>
                    </m:r>
                  </m:sub>
                </m:sSub>
              </m:oMath>
            </m:oMathPara>
          </w:p>
        </w:tc>
      </w:tr>
      <w:tr w:rsidR="00DB5AE0" w:rsidRPr="00DB5AE0" w14:paraId="3AF8B54F" w14:textId="77777777" w:rsidTr="00032517">
        <w:trPr>
          <w:trHeight w:val="240"/>
          <w:jc w:val="center"/>
        </w:trPr>
        <w:tc>
          <w:tcPr>
            <w:tcW w:w="3096" w:type="dxa"/>
            <w:tcBorders>
              <w:top w:val="single" w:sz="4" w:space="0" w:color="auto"/>
            </w:tcBorders>
            <w:noWrap/>
          </w:tcPr>
          <w:p w14:paraId="7BCF17B4" w14:textId="77777777" w:rsidR="00DB5AE0" w:rsidRPr="00DB5AE0" w:rsidRDefault="00DB5AE0" w:rsidP="00DB5AE0">
            <w:pPr>
              <w:keepNext/>
              <w:keepLines/>
              <w:spacing w:before="20" w:after="20"/>
              <w:ind w:left="57" w:right="57"/>
              <w:jc w:val="center"/>
              <w:rPr>
                <w:rFonts w:ascii="Arial" w:eastAsia="宋体" w:hAnsi="Arial"/>
                <w:sz w:val="18"/>
              </w:rPr>
            </w:pPr>
            <m:oMathPara>
              <m:oMath>
                <m:r>
                  <w:rPr>
                    <w:rFonts w:ascii="Cambria Math" w:eastAsia="宋体" w:hAnsi="Cambria Math"/>
                  </w:rPr>
                  <m:t>[</m:t>
                </m:r>
                <m:sSub>
                  <m:sSubPr>
                    <m:ctrlPr>
                      <w:rPr>
                        <w:rFonts w:ascii="Cambria Math" w:eastAsia="宋体" w:hAnsi="Cambria Math"/>
                        <w:i/>
                      </w:rPr>
                    </m:ctrlPr>
                  </m:sSubPr>
                  <m:e>
                    <m:r>
                      <w:rPr>
                        <w:rFonts w:ascii="Cambria Math" w:eastAsia="宋体" w:hAnsi="Cambria Math"/>
                        <w:sz w:val="18"/>
                      </w:rPr>
                      <m:t>RT</m:t>
                    </m:r>
                  </m:e>
                  <m:sub>
                    <m:r>
                      <w:rPr>
                        <w:rFonts w:ascii="Cambria Math" w:eastAsia="宋体" w:hAnsi="Cambria Math"/>
                        <w:sz w:val="18"/>
                      </w:rPr>
                      <m:t>T0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sz w:val="18"/>
                      </w:rPr>
                      <m:t>RT</m:t>
                    </m:r>
                  </m:e>
                  <m:sub>
                    <m:r>
                      <w:rPr>
                        <w:rFonts w:ascii="Cambria Math" w:eastAsia="宋体" w:hAnsi="Cambria Math"/>
                        <w:sz w:val="18"/>
                      </w:rPr>
                      <m:t>T1</m:t>
                    </m:r>
                  </m:sub>
                </m:sSub>
                <m:r>
                  <w:rPr>
                    <w:rFonts w:ascii="Cambria Math" w:eastAsia="宋体" w:hAnsi="Cambria Math"/>
                  </w:rPr>
                  <m:t>)</m:t>
                </m:r>
              </m:oMath>
            </m:oMathPara>
          </w:p>
        </w:tc>
        <w:tc>
          <w:tcPr>
            <w:tcW w:w="2853" w:type="dxa"/>
            <w:tcBorders>
              <w:top w:val="single" w:sz="4" w:space="0" w:color="auto"/>
            </w:tcBorders>
          </w:tcPr>
          <w:p w14:paraId="52CD593D" w14:textId="77777777" w:rsidR="00DB5AE0" w:rsidRPr="00DB5AE0" w:rsidRDefault="004F38C0" w:rsidP="00DB5AE0">
            <w:pPr>
              <w:keepNext/>
              <w:keepLines/>
              <w:spacing w:before="20" w:after="20"/>
              <w:ind w:left="57" w:right="57"/>
              <w:jc w:val="center"/>
              <w:rPr>
                <w:rFonts w:ascii="Arial" w:eastAsia="MS Mincho" w:hAnsi="Arial" w:cs="Arial"/>
                <w:sz w:val="18"/>
              </w:rPr>
            </w:pPr>
            <m:oMathPara>
              <m:oMath>
                <m:sSub>
                  <m:sSubPr>
                    <m:ctrlPr>
                      <w:rPr>
                        <w:rFonts w:ascii="Cambria Math" w:eastAsia="宋体" w:hAnsi="Cambria Math"/>
                        <w:i/>
                      </w:rPr>
                    </m:ctrlPr>
                  </m:sSubPr>
                  <m:e>
                    <m:r>
                      <w:rPr>
                        <w:rFonts w:ascii="Cambria Math" w:eastAsia="宋体" w:hAnsi="Cambria Math"/>
                        <w:sz w:val="18"/>
                      </w:rPr>
                      <m:t>RT</m:t>
                    </m:r>
                  </m:e>
                  <m:sub>
                    <m:r>
                      <w:rPr>
                        <w:rFonts w:ascii="Cambria Math" w:eastAsia="宋体" w:hAnsi="Cambria Math"/>
                        <w:sz w:val="18"/>
                      </w:rPr>
                      <m:t>2</m:t>
                    </m:r>
                  </m:sub>
                </m:sSub>
              </m:oMath>
            </m:oMathPara>
          </w:p>
        </w:tc>
        <w:tc>
          <w:tcPr>
            <w:tcW w:w="2025" w:type="dxa"/>
            <w:tcBorders>
              <w:top w:val="single" w:sz="4" w:space="0" w:color="auto"/>
            </w:tcBorders>
            <w:vAlign w:val="bottom"/>
          </w:tcPr>
          <w:p w14:paraId="2AE554F3" w14:textId="77777777" w:rsidR="00DB5AE0" w:rsidRPr="00DB5AE0" w:rsidRDefault="004F38C0" w:rsidP="00DB5AE0">
            <w:pPr>
              <w:keepNext/>
              <w:keepLines/>
              <w:spacing w:before="20" w:after="20"/>
              <w:ind w:left="57" w:right="57"/>
              <w:jc w:val="center"/>
              <w:rPr>
                <w:rFonts w:ascii="Arial" w:eastAsia="宋体" w:hAnsi="Arial"/>
                <w:sz w:val="18"/>
              </w:rPr>
            </w:pPr>
            <m:oMathPara>
              <m:oMath>
                <m:sSub>
                  <m:sSubPr>
                    <m:ctrlPr>
                      <w:rPr>
                        <w:rFonts w:ascii="Cambria Math" w:eastAsia="宋体" w:hAnsi="Cambria Math"/>
                        <w:i/>
                        <w:sz w:val="18"/>
                      </w:rPr>
                    </m:ctrlPr>
                  </m:sSubPr>
                  <m:e>
                    <m:r>
                      <w:rPr>
                        <w:rFonts w:ascii="Cambria Math" w:eastAsia="宋体" w:hAnsi="Cambria Math"/>
                        <w:sz w:val="18"/>
                      </w:rPr>
                      <m:t>S</m:t>
                    </m:r>
                  </m:e>
                  <m:sub>
                    <m:r>
                      <w:rPr>
                        <w:rFonts w:ascii="Cambria Math" w:eastAsia="宋体" w:hAnsi="Cambria Math"/>
                        <w:sz w:val="18"/>
                      </w:rPr>
                      <m:t>2</m:t>
                    </m:r>
                  </m:sub>
                </m:sSub>
                <m:r>
                  <w:rPr>
                    <w:rFonts w:ascii="Cambria Math" w:eastAsia="宋体" w:hAnsi="Cambria Math"/>
                    <w:sz w:val="18"/>
                  </w:rPr>
                  <m:t>+</m:t>
                </m:r>
                <m:sSub>
                  <m:sSubPr>
                    <m:ctrlPr>
                      <w:rPr>
                        <w:rFonts w:ascii="Cambria Math" w:eastAsia="宋体" w:hAnsi="Cambria Math"/>
                        <w:i/>
                        <w:sz w:val="18"/>
                      </w:rPr>
                    </m:ctrlPr>
                  </m:sSubPr>
                  <m:e>
                    <m:r>
                      <w:rPr>
                        <w:rFonts w:ascii="Cambria Math" w:eastAsia="宋体" w:hAnsi="Cambria Math"/>
                        <w:sz w:val="18"/>
                      </w:rPr>
                      <m:t>S</m:t>
                    </m:r>
                  </m:e>
                  <m:sub>
                    <m:r>
                      <w:rPr>
                        <w:rFonts w:ascii="Cambria Math" w:eastAsia="宋体" w:hAnsi="Cambria Math"/>
                        <w:sz w:val="18"/>
                      </w:rPr>
                      <m:t>3</m:t>
                    </m:r>
                  </m:sub>
                </m:sSub>
                <m:r>
                  <w:rPr>
                    <w:rFonts w:ascii="Cambria Math" w:eastAsia="宋体" w:hAnsi="Cambria Math"/>
                    <w:sz w:val="18"/>
                  </w:rPr>
                  <m:t>+</m:t>
                </m:r>
                <m:sSub>
                  <m:sSubPr>
                    <m:ctrlPr>
                      <w:rPr>
                        <w:rFonts w:ascii="Cambria Math" w:eastAsia="宋体" w:hAnsi="Cambria Math"/>
                        <w:i/>
                        <w:sz w:val="18"/>
                      </w:rPr>
                    </m:ctrlPr>
                  </m:sSubPr>
                  <m:e>
                    <m:r>
                      <w:rPr>
                        <w:rFonts w:ascii="Cambria Math" w:eastAsia="宋体" w:hAnsi="Cambria Math"/>
                        <w:sz w:val="18"/>
                      </w:rPr>
                      <m:t>S</m:t>
                    </m:r>
                  </m:e>
                  <m:sub>
                    <m:r>
                      <w:rPr>
                        <w:rFonts w:ascii="Cambria Math" w:eastAsia="宋体" w:hAnsi="Cambria Math"/>
                        <w:sz w:val="18"/>
                      </w:rPr>
                      <m:t>5</m:t>
                    </m:r>
                  </m:sub>
                </m:sSub>
                <m:r>
                  <w:rPr>
                    <w:rFonts w:ascii="Cambria Math" w:eastAsia="宋体" w:hAnsi="Cambria Math"/>
                    <w:sz w:val="18"/>
                  </w:rPr>
                  <m:t>+</m:t>
                </m:r>
                <m:sSub>
                  <m:sSubPr>
                    <m:ctrlPr>
                      <w:rPr>
                        <w:rFonts w:ascii="Cambria Math" w:eastAsia="宋体" w:hAnsi="Cambria Math"/>
                        <w:i/>
                        <w:sz w:val="18"/>
                      </w:rPr>
                    </m:ctrlPr>
                  </m:sSubPr>
                  <m:e>
                    <m:r>
                      <w:rPr>
                        <w:rFonts w:ascii="Cambria Math" w:eastAsia="宋体" w:hAnsi="Cambria Math"/>
                        <w:sz w:val="18"/>
                      </w:rPr>
                      <m:t>S</m:t>
                    </m:r>
                  </m:e>
                  <m:sub>
                    <m:r>
                      <w:rPr>
                        <w:rFonts w:ascii="Cambria Math" w:eastAsia="宋体" w:hAnsi="Cambria Math"/>
                        <w:sz w:val="18"/>
                      </w:rPr>
                      <m:t>6</m:t>
                    </m:r>
                  </m:sub>
                </m:sSub>
              </m:oMath>
            </m:oMathPara>
          </w:p>
        </w:tc>
      </w:tr>
    </w:tbl>
    <w:p w14:paraId="72507907" w14:textId="77777777" w:rsidR="00DB5AE0" w:rsidRPr="00DB5AE0" w:rsidRDefault="00DB5AE0" w:rsidP="00DB5AE0">
      <w:pPr>
        <w:spacing w:before="120"/>
        <w:jc w:val="both"/>
        <w:rPr>
          <w:rFonts w:eastAsia="宋体"/>
        </w:rPr>
      </w:pPr>
      <w:r w:rsidRPr="00DB5AE0">
        <w:rPr>
          <w:rFonts w:eastAsia="宋体"/>
        </w:rPr>
        <w:t xml:space="preserve">Then, the gNB may think that allocating a transport block size of </w:t>
      </w:r>
      <m:oMath>
        <m:sSub>
          <m:sSubPr>
            <m:ctrlPr>
              <w:rPr>
                <w:rFonts w:ascii="Cambria Math" w:eastAsia="宋体" w:hAnsi="Cambria Math"/>
                <w:i/>
              </w:rPr>
            </m:ctrlPr>
          </m:sSubPr>
          <m:e>
            <m:r>
              <w:rPr>
                <w:rFonts w:ascii="Cambria Math" w:eastAsia="宋体" w:hAnsi="Cambria Math"/>
              </w:rPr>
              <m:t>S</m:t>
            </m:r>
          </m:e>
          <m:sub>
            <m:r>
              <w:rPr>
                <w:rFonts w:ascii="Cambria Math" w:eastAsia="宋体" w:hAnsi="Cambria Math"/>
              </w:rPr>
              <m:t>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S</m:t>
            </m:r>
          </m:e>
          <m:sub>
            <m:r>
              <w:rPr>
                <w:rFonts w:ascii="Cambria Math" w:eastAsia="宋体" w:hAnsi="Cambria Math"/>
              </w:rPr>
              <m:t>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S</m:t>
            </m:r>
          </m:e>
          <m:sub>
            <m:r>
              <w:rPr>
                <w:rFonts w:ascii="Cambria Math" w:eastAsia="宋体" w:hAnsi="Cambria Math"/>
              </w:rPr>
              <m:t>4</m:t>
            </m:r>
          </m:sub>
        </m:sSub>
      </m:oMath>
      <w:r w:rsidRPr="00DB5AE0">
        <w:rPr>
          <w:rFonts w:eastAsia="宋体"/>
        </w:rPr>
        <w:t xml:space="preserve"> would be enough for the UE to transmit data with associated remaining time </w:t>
      </w:r>
      <m:oMath>
        <m:sSub>
          <m:sSubPr>
            <m:ctrlPr>
              <w:rPr>
                <w:rFonts w:ascii="Cambria Math" w:eastAsia="宋体" w:hAnsi="Cambria Math"/>
                <w:i/>
              </w:rPr>
            </m:ctrlPr>
          </m:sSubPr>
          <m:e>
            <m:r>
              <w:rPr>
                <w:rFonts w:ascii="Cambria Math" w:eastAsia="宋体" w:hAnsi="Cambria Math"/>
              </w:rPr>
              <m:t>RT</m:t>
            </m:r>
          </m:e>
          <m:sub>
            <m:r>
              <w:rPr>
                <w:rFonts w:ascii="Cambria Math" w:eastAsia="宋体" w:hAnsi="Cambria Math"/>
              </w:rPr>
              <m:t>0</m:t>
            </m:r>
          </m:sub>
        </m:sSub>
      </m:oMath>
      <w:r w:rsidRPr="00DB5AE0">
        <w:rPr>
          <w:rFonts w:eastAsia="宋体"/>
        </w:rPr>
        <w:t>. However, this is not the case. Therefore, a better option for the DSR with multiple reporting thresholds would be the one shown in Table 2.2-2.</w:t>
      </w:r>
    </w:p>
    <w:p w14:paraId="143FFFE0" w14:textId="77777777" w:rsidR="00DB5AE0" w:rsidRPr="00DB5AE0" w:rsidRDefault="00DB5AE0" w:rsidP="00DB5AE0">
      <w:pPr>
        <w:keepNext/>
        <w:keepLines/>
        <w:spacing w:before="60"/>
        <w:jc w:val="center"/>
        <w:rPr>
          <w:rFonts w:ascii="Arial" w:eastAsia="宋体" w:hAnsi="Arial"/>
          <w:b/>
        </w:rPr>
      </w:pPr>
      <w:r w:rsidRPr="00DB5AE0">
        <w:rPr>
          <w:rFonts w:ascii="Arial" w:eastAsia="宋体" w:hAnsi="Arial"/>
          <w:b/>
        </w:rPr>
        <w:t xml:space="preserve">    Table 2.2-2: Buffer size in multiple reporting thresholds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096"/>
        <w:gridCol w:w="2711"/>
        <w:gridCol w:w="2086"/>
      </w:tblGrid>
      <w:tr w:rsidR="00DB5AE0" w:rsidRPr="00DB5AE0" w14:paraId="4992EC8E" w14:textId="77777777" w:rsidTr="00032517">
        <w:trPr>
          <w:trHeight w:val="240"/>
          <w:jc w:val="center"/>
        </w:trPr>
        <w:tc>
          <w:tcPr>
            <w:tcW w:w="3096" w:type="dxa"/>
            <w:tcBorders>
              <w:top w:val="single" w:sz="4" w:space="0" w:color="auto"/>
              <w:left w:val="single" w:sz="4" w:space="0" w:color="auto"/>
              <w:bottom w:val="single" w:sz="4" w:space="0" w:color="auto"/>
              <w:right w:val="single" w:sz="4" w:space="0" w:color="auto"/>
            </w:tcBorders>
            <w:noWrap/>
            <w:vAlign w:val="bottom"/>
          </w:tcPr>
          <w:p w14:paraId="7647F170" w14:textId="77777777" w:rsidR="00DB5AE0" w:rsidRPr="00DB5AE0" w:rsidRDefault="00DB5AE0" w:rsidP="00DB5AE0">
            <w:pPr>
              <w:keepNext/>
              <w:keepLines/>
              <w:spacing w:before="20" w:after="20"/>
              <w:ind w:left="57" w:right="57"/>
              <w:jc w:val="center"/>
              <w:rPr>
                <w:rFonts w:ascii="Arial" w:eastAsia="宋体" w:hAnsi="Arial" w:cs="Arial"/>
                <w:b/>
                <w:sz w:val="18"/>
                <w:szCs w:val="18"/>
              </w:rPr>
            </w:pPr>
            <w:r w:rsidRPr="00DB5AE0">
              <w:rPr>
                <w:rFonts w:ascii="Arial" w:eastAsia="宋体" w:hAnsi="Arial" w:cs="Arial"/>
                <w:b/>
                <w:sz w:val="18"/>
                <w:szCs w:val="18"/>
              </w:rPr>
              <w:t>Remaining Time range</w:t>
            </w:r>
          </w:p>
        </w:tc>
        <w:tc>
          <w:tcPr>
            <w:tcW w:w="2711" w:type="dxa"/>
            <w:tcBorders>
              <w:top w:val="single" w:sz="4" w:space="0" w:color="auto"/>
              <w:left w:val="single" w:sz="4" w:space="0" w:color="auto"/>
              <w:bottom w:val="single" w:sz="4" w:space="0" w:color="auto"/>
              <w:right w:val="single" w:sz="4" w:space="0" w:color="auto"/>
            </w:tcBorders>
          </w:tcPr>
          <w:p w14:paraId="41065750" w14:textId="77777777" w:rsidR="00DB5AE0" w:rsidRPr="00DB5AE0" w:rsidRDefault="00DB5AE0" w:rsidP="00DB5AE0">
            <w:pPr>
              <w:keepNext/>
              <w:keepLines/>
              <w:spacing w:before="20" w:after="20"/>
              <w:ind w:left="57" w:right="57"/>
              <w:jc w:val="center"/>
              <w:rPr>
                <w:rFonts w:ascii="Arial" w:eastAsia="宋体" w:hAnsi="Arial"/>
                <w:b/>
                <w:sz w:val="18"/>
              </w:rPr>
            </w:pPr>
            <w:r w:rsidRPr="00DB5AE0">
              <w:rPr>
                <w:rFonts w:ascii="Arial" w:eastAsia="宋体" w:hAnsi="Arial"/>
                <w:b/>
                <w:sz w:val="18"/>
              </w:rPr>
              <w:t>Reported Remaining Time</w:t>
            </w:r>
          </w:p>
        </w:tc>
        <w:tc>
          <w:tcPr>
            <w:tcW w:w="2086" w:type="dxa"/>
            <w:tcBorders>
              <w:top w:val="single" w:sz="4" w:space="0" w:color="auto"/>
              <w:left w:val="single" w:sz="4" w:space="0" w:color="auto"/>
              <w:bottom w:val="single" w:sz="4" w:space="0" w:color="auto"/>
              <w:right w:val="single" w:sz="4" w:space="0" w:color="auto"/>
            </w:tcBorders>
            <w:vAlign w:val="bottom"/>
          </w:tcPr>
          <w:p w14:paraId="2B507B32" w14:textId="77777777" w:rsidR="00DB5AE0" w:rsidRPr="00DB5AE0" w:rsidRDefault="00DB5AE0" w:rsidP="00DB5AE0">
            <w:pPr>
              <w:keepNext/>
              <w:keepLines/>
              <w:spacing w:before="20" w:after="20"/>
              <w:ind w:left="57" w:right="57"/>
              <w:jc w:val="center"/>
              <w:rPr>
                <w:rFonts w:ascii="Arial" w:eastAsia="宋体" w:hAnsi="Arial"/>
                <w:b/>
                <w:sz w:val="18"/>
              </w:rPr>
            </w:pPr>
            <w:r w:rsidRPr="00DB5AE0">
              <w:rPr>
                <w:rFonts w:ascii="Arial" w:eastAsia="宋体" w:hAnsi="Arial"/>
                <w:b/>
                <w:sz w:val="18"/>
              </w:rPr>
              <w:t>Reported Buffer Size</w:t>
            </w:r>
          </w:p>
        </w:tc>
      </w:tr>
      <w:tr w:rsidR="00DB5AE0" w:rsidRPr="00DB5AE0" w14:paraId="2E057443" w14:textId="77777777" w:rsidTr="00032517">
        <w:trPr>
          <w:trHeight w:val="240"/>
          <w:jc w:val="center"/>
        </w:trPr>
        <w:tc>
          <w:tcPr>
            <w:tcW w:w="3096" w:type="dxa"/>
            <w:tcBorders>
              <w:top w:val="single" w:sz="4" w:space="0" w:color="auto"/>
              <w:left w:val="single" w:sz="4" w:space="0" w:color="auto"/>
              <w:bottom w:val="single" w:sz="4" w:space="0" w:color="auto"/>
              <w:right w:val="single" w:sz="4" w:space="0" w:color="auto"/>
            </w:tcBorders>
            <w:noWrap/>
          </w:tcPr>
          <w:p w14:paraId="2489D0B0" w14:textId="77777777" w:rsidR="00DB5AE0" w:rsidRPr="00DB5AE0" w:rsidRDefault="00DB5AE0" w:rsidP="00DB5AE0">
            <w:pPr>
              <w:keepNext/>
              <w:keepLines/>
              <w:spacing w:before="20" w:after="20"/>
              <w:ind w:left="57" w:right="57"/>
              <w:jc w:val="center"/>
              <w:rPr>
                <w:rFonts w:ascii="Arial" w:eastAsia="宋体" w:hAnsi="Arial"/>
                <w:sz w:val="18"/>
              </w:rPr>
            </w:pPr>
            <m:oMathPara>
              <m:oMath>
                <m:r>
                  <w:rPr>
                    <w:rFonts w:ascii="Cambria Math" w:eastAsia="宋体" w:hAnsi="Cambria Math"/>
                  </w:rPr>
                  <m:t>[0,</m:t>
                </m:r>
                <m:sSub>
                  <m:sSubPr>
                    <m:ctrlPr>
                      <w:rPr>
                        <w:rFonts w:ascii="Cambria Math" w:eastAsia="宋体" w:hAnsi="Cambria Math"/>
                        <w:i/>
                      </w:rPr>
                    </m:ctrlPr>
                  </m:sSubPr>
                  <m:e>
                    <m:r>
                      <w:rPr>
                        <w:rFonts w:ascii="Cambria Math" w:eastAsia="宋体" w:hAnsi="Cambria Math"/>
                        <w:sz w:val="18"/>
                      </w:rPr>
                      <m:t>RT</m:t>
                    </m:r>
                  </m:e>
                  <m:sub>
                    <m:r>
                      <w:rPr>
                        <w:rFonts w:ascii="Cambria Math" w:eastAsia="宋体" w:hAnsi="Cambria Math"/>
                        <w:sz w:val="18"/>
                      </w:rPr>
                      <m:t>T0</m:t>
                    </m:r>
                  </m:sub>
                </m:sSub>
                <m:r>
                  <w:rPr>
                    <w:rFonts w:ascii="Cambria Math" w:eastAsia="宋体" w:hAnsi="Cambria Math"/>
                  </w:rPr>
                  <m:t>)</m:t>
                </m:r>
              </m:oMath>
            </m:oMathPara>
          </w:p>
        </w:tc>
        <w:tc>
          <w:tcPr>
            <w:tcW w:w="2711" w:type="dxa"/>
            <w:tcBorders>
              <w:top w:val="single" w:sz="4" w:space="0" w:color="auto"/>
              <w:left w:val="single" w:sz="4" w:space="0" w:color="auto"/>
              <w:bottom w:val="single" w:sz="4" w:space="0" w:color="auto"/>
              <w:right w:val="single" w:sz="4" w:space="0" w:color="auto"/>
            </w:tcBorders>
          </w:tcPr>
          <w:p w14:paraId="5617C641" w14:textId="77777777" w:rsidR="00DB5AE0" w:rsidRPr="00DB5AE0" w:rsidRDefault="004F38C0" w:rsidP="00DB5AE0">
            <w:pPr>
              <w:keepNext/>
              <w:keepLines/>
              <w:spacing w:before="20" w:after="20"/>
              <w:ind w:left="57" w:right="57"/>
              <w:jc w:val="center"/>
              <w:rPr>
                <w:rFonts w:ascii="Arial" w:eastAsia="宋体" w:hAnsi="Arial"/>
                <w:sz w:val="18"/>
              </w:rPr>
            </w:pPr>
            <m:oMathPara>
              <m:oMath>
                <m:sSub>
                  <m:sSubPr>
                    <m:ctrlPr>
                      <w:rPr>
                        <w:rFonts w:ascii="Cambria Math" w:eastAsia="宋体" w:hAnsi="Cambria Math"/>
                        <w:i/>
                      </w:rPr>
                    </m:ctrlPr>
                  </m:sSubPr>
                  <m:e>
                    <m:r>
                      <w:rPr>
                        <w:rFonts w:ascii="Cambria Math" w:eastAsia="宋体" w:hAnsi="Cambria Math"/>
                        <w:sz w:val="18"/>
                      </w:rPr>
                      <m:t>RT</m:t>
                    </m:r>
                  </m:e>
                  <m:sub>
                    <m:r>
                      <w:rPr>
                        <w:rFonts w:ascii="Cambria Math" w:eastAsia="宋体" w:hAnsi="Cambria Math"/>
                        <w:sz w:val="18"/>
                      </w:rPr>
                      <m:t>0</m:t>
                    </m:r>
                  </m:sub>
                </m:sSub>
              </m:oMath>
            </m:oMathPara>
          </w:p>
        </w:tc>
        <w:tc>
          <w:tcPr>
            <w:tcW w:w="2086" w:type="dxa"/>
            <w:tcBorders>
              <w:top w:val="single" w:sz="4" w:space="0" w:color="auto"/>
              <w:left w:val="single" w:sz="4" w:space="0" w:color="auto"/>
              <w:bottom w:val="single" w:sz="4" w:space="0" w:color="auto"/>
              <w:right w:val="single" w:sz="4" w:space="0" w:color="auto"/>
            </w:tcBorders>
            <w:vAlign w:val="bottom"/>
          </w:tcPr>
          <w:p w14:paraId="691D8F0A" w14:textId="77777777" w:rsidR="00DB5AE0" w:rsidRPr="00DB5AE0" w:rsidRDefault="004F38C0" w:rsidP="00DB5AE0">
            <w:pPr>
              <w:keepNext/>
              <w:keepLines/>
              <w:spacing w:before="20" w:after="20"/>
              <w:ind w:left="57" w:right="57"/>
              <w:jc w:val="center"/>
              <w:rPr>
                <w:rFonts w:ascii="Arial" w:eastAsia="宋体" w:hAnsi="Arial"/>
                <w:sz w:val="18"/>
              </w:rPr>
            </w:pPr>
            <m:oMathPara>
              <m:oMath>
                <m:sSub>
                  <m:sSubPr>
                    <m:ctrlPr>
                      <w:rPr>
                        <w:rFonts w:ascii="Cambria Math" w:eastAsia="宋体" w:hAnsi="Cambria Math"/>
                        <w:i/>
                        <w:sz w:val="18"/>
                      </w:rPr>
                    </m:ctrlPr>
                  </m:sSubPr>
                  <m:e>
                    <m:r>
                      <w:rPr>
                        <w:rFonts w:ascii="Cambria Math" w:eastAsia="宋体" w:hAnsi="Cambria Math"/>
                        <w:sz w:val="18"/>
                      </w:rPr>
                      <m:t>S</m:t>
                    </m:r>
                  </m:e>
                  <m:sub>
                    <m:r>
                      <w:rPr>
                        <w:rFonts w:ascii="Cambria Math" w:eastAsia="宋体" w:hAnsi="Cambria Math"/>
                        <w:sz w:val="18"/>
                      </w:rPr>
                      <m:t>0</m:t>
                    </m:r>
                  </m:sub>
                </m:sSub>
                <m:r>
                  <w:rPr>
                    <w:rFonts w:ascii="Cambria Math" w:eastAsia="宋体" w:hAnsi="Cambria Math"/>
                    <w:sz w:val="18"/>
                  </w:rPr>
                  <m:t>+</m:t>
                </m:r>
                <m:sSub>
                  <m:sSubPr>
                    <m:ctrlPr>
                      <w:rPr>
                        <w:rFonts w:ascii="Cambria Math" w:eastAsia="宋体" w:hAnsi="Cambria Math"/>
                        <w:i/>
                        <w:sz w:val="18"/>
                      </w:rPr>
                    </m:ctrlPr>
                  </m:sSubPr>
                  <m:e>
                    <m:r>
                      <w:rPr>
                        <w:rFonts w:ascii="Cambria Math" w:eastAsia="宋体" w:hAnsi="Cambria Math"/>
                        <w:sz w:val="18"/>
                      </w:rPr>
                      <m:t>S</m:t>
                    </m:r>
                  </m:e>
                  <m:sub>
                    <m:r>
                      <w:rPr>
                        <w:rFonts w:ascii="Cambria Math" w:eastAsia="宋体" w:hAnsi="Cambria Math"/>
                        <w:sz w:val="18"/>
                      </w:rPr>
                      <m:t>1</m:t>
                    </m:r>
                  </m:sub>
                </m:sSub>
                <m:r>
                  <w:rPr>
                    <w:rFonts w:ascii="Cambria Math" w:eastAsia="宋体" w:hAnsi="Cambria Math"/>
                    <w:sz w:val="18"/>
                  </w:rPr>
                  <m:t>+</m:t>
                </m:r>
                <m:sSub>
                  <m:sSubPr>
                    <m:ctrlPr>
                      <w:rPr>
                        <w:rFonts w:ascii="Cambria Math" w:eastAsia="宋体" w:hAnsi="Cambria Math"/>
                        <w:i/>
                        <w:sz w:val="18"/>
                      </w:rPr>
                    </m:ctrlPr>
                  </m:sSubPr>
                  <m:e>
                    <m:sSub>
                      <m:sSubPr>
                        <m:ctrlPr>
                          <w:rPr>
                            <w:rFonts w:ascii="Cambria Math" w:eastAsia="宋体" w:hAnsi="Cambria Math"/>
                            <w:i/>
                            <w:sz w:val="18"/>
                          </w:rPr>
                        </m:ctrlPr>
                      </m:sSubPr>
                      <m:e>
                        <m:r>
                          <w:rPr>
                            <w:rFonts w:ascii="Cambria Math" w:eastAsia="宋体" w:hAnsi="Cambria Math"/>
                            <w:sz w:val="18"/>
                          </w:rPr>
                          <m:t>S</m:t>
                        </m:r>
                      </m:e>
                      <m:sub>
                        <m:r>
                          <w:rPr>
                            <w:rFonts w:ascii="Cambria Math" w:eastAsia="宋体" w:hAnsi="Cambria Math"/>
                            <w:sz w:val="18"/>
                          </w:rPr>
                          <m:t>2</m:t>
                        </m:r>
                      </m:sub>
                    </m:sSub>
                    <m:r>
                      <w:rPr>
                        <w:rFonts w:ascii="Cambria Math" w:eastAsia="宋体" w:hAnsi="Cambria Math"/>
                        <w:sz w:val="18"/>
                      </w:rPr>
                      <m:t>+</m:t>
                    </m:r>
                    <m:sSub>
                      <m:sSubPr>
                        <m:ctrlPr>
                          <w:rPr>
                            <w:rFonts w:ascii="Cambria Math" w:eastAsia="宋体" w:hAnsi="Cambria Math"/>
                            <w:i/>
                            <w:sz w:val="18"/>
                          </w:rPr>
                        </m:ctrlPr>
                      </m:sSubPr>
                      <m:e>
                        <m:r>
                          <w:rPr>
                            <w:rFonts w:ascii="Cambria Math" w:eastAsia="宋体" w:hAnsi="Cambria Math"/>
                            <w:sz w:val="18"/>
                          </w:rPr>
                          <m:t>S</m:t>
                        </m:r>
                      </m:e>
                      <m:sub>
                        <m:r>
                          <w:rPr>
                            <w:rFonts w:ascii="Cambria Math" w:eastAsia="宋体" w:hAnsi="Cambria Math"/>
                            <w:sz w:val="18"/>
                          </w:rPr>
                          <m:t>3</m:t>
                        </m:r>
                      </m:sub>
                    </m:sSub>
                    <m:r>
                      <w:rPr>
                        <w:rFonts w:ascii="Cambria Math" w:eastAsia="宋体" w:hAnsi="Cambria Math"/>
                        <w:sz w:val="18"/>
                      </w:rPr>
                      <m:t>+S</m:t>
                    </m:r>
                  </m:e>
                  <m:sub>
                    <m:r>
                      <w:rPr>
                        <w:rFonts w:ascii="Cambria Math" w:eastAsia="宋体" w:hAnsi="Cambria Math"/>
                        <w:sz w:val="18"/>
                      </w:rPr>
                      <m:t>4</m:t>
                    </m:r>
                  </m:sub>
                </m:sSub>
              </m:oMath>
            </m:oMathPara>
          </w:p>
        </w:tc>
      </w:tr>
      <w:tr w:rsidR="00DB5AE0" w:rsidRPr="00DB5AE0" w14:paraId="37AB256C" w14:textId="77777777" w:rsidTr="00032517">
        <w:trPr>
          <w:trHeight w:val="240"/>
          <w:jc w:val="center"/>
        </w:trPr>
        <w:tc>
          <w:tcPr>
            <w:tcW w:w="3096" w:type="dxa"/>
            <w:tcBorders>
              <w:top w:val="single" w:sz="4" w:space="0" w:color="auto"/>
            </w:tcBorders>
            <w:noWrap/>
          </w:tcPr>
          <w:p w14:paraId="2249EAF5" w14:textId="77777777" w:rsidR="00DB5AE0" w:rsidRPr="00DB5AE0" w:rsidRDefault="00DB5AE0" w:rsidP="00DB5AE0">
            <w:pPr>
              <w:keepNext/>
              <w:keepLines/>
              <w:spacing w:before="20" w:after="20"/>
              <w:ind w:left="57" w:right="57"/>
              <w:jc w:val="center"/>
              <w:rPr>
                <w:rFonts w:ascii="Arial" w:eastAsia="宋体" w:hAnsi="Arial"/>
                <w:sz w:val="18"/>
              </w:rPr>
            </w:pPr>
            <m:oMathPara>
              <m:oMath>
                <m:r>
                  <w:rPr>
                    <w:rFonts w:ascii="Cambria Math" w:eastAsia="宋体" w:hAnsi="Cambria Math"/>
                  </w:rPr>
                  <m:t>[</m:t>
                </m:r>
                <m:sSub>
                  <m:sSubPr>
                    <m:ctrlPr>
                      <w:rPr>
                        <w:rFonts w:ascii="Cambria Math" w:eastAsia="宋体" w:hAnsi="Cambria Math"/>
                        <w:i/>
                      </w:rPr>
                    </m:ctrlPr>
                  </m:sSubPr>
                  <m:e>
                    <m:r>
                      <w:rPr>
                        <w:rFonts w:ascii="Cambria Math" w:eastAsia="宋体" w:hAnsi="Cambria Math"/>
                        <w:sz w:val="18"/>
                      </w:rPr>
                      <m:t>RT</m:t>
                    </m:r>
                  </m:e>
                  <m:sub>
                    <m:r>
                      <w:rPr>
                        <w:rFonts w:ascii="Cambria Math" w:eastAsia="宋体" w:hAnsi="Cambria Math"/>
                        <w:sz w:val="18"/>
                      </w:rPr>
                      <m:t>T0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sz w:val="18"/>
                      </w:rPr>
                      <m:t>RT</m:t>
                    </m:r>
                  </m:e>
                  <m:sub>
                    <m:r>
                      <w:rPr>
                        <w:rFonts w:ascii="Cambria Math" w:eastAsia="宋体" w:hAnsi="Cambria Math"/>
                        <w:sz w:val="18"/>
                      </w:rPr>
                      <m:t>T1</m:t>
                    </m:r>
                  </m:sub>
                </m:sSub>
                <m:r>
                  <w:rPr>
                    <w:rFonts w:ascii="Cambria Math" w:eastAsia="宋体" w:hAnsi="Cambria Math"/>
                  </w:rPr>
                  <m:t>)</m:t>
                </m:r>
              </m:oMath>
            </m:oMathPara>
          </w:p>
        </w:tc>
        <w:tc>
          <w:tcPr>
            <w:tcW w:w="2711" w:type="dxa"/>
            <w:tcBorders>
              <w:top w:val="single" w:sz="4" w:space="0" w:color="auto"/>
            </w:tcBorders>
          </w:tcPr>
          <w:p w14:paraId="08C790D3" w14:textId="77777777" w:rsidR="00DB5AE0" w:rsidRPr="00DB5AE0" w:rsidRDefault="004F38C0" w:rsidP="00DB5AE0">
            <w:pPr>
              <w:keepNext/>
              <w:keepLines/>
              <w:spacing w:before="20" w:after="20"/>
              <w:ind w:left="57" w:right="57"/>
              <w:jc w:val="center"/>
              <w:rPr>
                <w:rFonts w:ascii="Arial" w:eastAsia="MS Mincho" w:hAnsi="Arial" w:cs="Arial"/>
                <w:sz w:val="18"/>
              </w:rPr>
            </w:pPr>
            <m:oMathPara>
              <m:oMath>
                <m:sSub>
                  <m:sSubPr>
                    <m:ctrlPr>
                      <w:rPr>
                        <w:rFonts w:ascii="Cambria Math" w:eastAsia="宋体" w:hAnsi="Cambria Math"/>
                        <w:i/>
                      </w:rPr>
                    </m:ctrlPr>
                  </m:sSubPr>
                  <m:e>
                    <m:r>
                      <w:rPr>
                        <w:rFonts w:ascii="Cambria Math" w:eastAsia="宋体" w:hAnsi="Cambria Math"/>
                        <w:sz w:val="18"/>
                      </w:rPr>
                      <m:t>RT</m:t>
                    </m:r>
                  </m:e>
                  <m:sub>
                    <m:r>
                      <w:rPr>
                        <w:rFonts w:ascii="Cambria Math" w:eastAsia="宋体" w:hAnsi="Cambria Math"/>
                        <w:sz w:val="18"/>
                      </w:rPr>
                      <m:t>2</m:t>
                    </m:r>
                  </m:sub>
                </m:sSub>
              </m:oMath>
            </m:oMathPara>
          </w:p>
        </w:tc>
        <w:tc>
          <w:tcPr>
            <w:tcW w:w="2086" w:type="dxa"/>
            <w:tcBorders>
              <w:top w:val="single" w:sz="4" w:space="0" w:color="auto"/>
            </w:tcBorders>
            <w:vAlign w:val="bottom"/>
          </w:tcPr>
          <w:p w14:paraId="6B0B9DA1" w14:textId="77777777" w:rsidR="00DB5AE0" w:rsidRPr="00DB5AE0" w:rsidRDefault="004F38C0" w:rsidP="00DB5AE0">
            <w:pPr>
              <w:keepNext/>
              <w:keepLines/>
              <w:spacing w:before="20" w:after="20"/>
              <w:ind w:left="57" w:right="57"/>
              <w:jc w:val="center"/>
              <w:rPr>
                <w:rFonts w:ascii="Arial" w:eastAsia="宋体" w:hAnsi="Arial"/>
                <w:sz w:val="18"/>
              </w:rPr>
            </w:pPr>
            <m:oMathPara>
              <m:oMath>
                <m:sSub>
                  <m:sSubPr>
                    <m:ctrlPr>
                      <w:rPr>
                        <w:rFonts w:ascii="Cambria Math" w:eastAsia="宋体" w:hAnsi="Cambria Math"/>
                        <w:i/>
                        <w:sz w:val="18"/>
                      </w:rPr>
                    </m:ctrlPr>
                  </m:sSubPr>
                  <m:e>
                    <m:r>
                      <w:rPr>
                        <w:rFonts w:ascii="Cambria Math" w:eastAsia="宋体" w:hAnsi="Cambria Math"/>
                        <w:sz w:val="18"/>
                      </w:rPr>
                      <m:t>S</m:t>
                    </m:r>
                  </m:e>
                  <m:sub>
                    <m:r>
                      <w:rPr>
                        <w:rFonts w:ascii="Cambria Math" w:eastAsia="宋体" w:hAnsi="Cambria Math"/>
                        <w:sz w:val="18"/>
                      </w:rPr>
                      <m:t>5</m:t>
                    </m:r>
                  </m:sub>
                </m:sSub>
                <m:r>
                  <w:rPr>
                    <w:rFonts w:ascii="Cambria Math" w:eastAsia="宋体" w:hAnsi="Cambria Math"/>
                    <w:sz w:val="18"/>
                  </w:rPr>
                  <m:t>+</m:t>
                </m:r>
                <m:sSub>
                  <m:sSubPr>
                    <m:ctrlPr>
                      <w:rPr>
                        <w:rFonts w:ascii="Cambria Math" w:eastAsia="宋体" w:hAnsi="Cambria Math"/>
                        <w:i/>
                        <w:sz w:val="18"/>
                      </w:rPr>
                    </m:ctrlPr>
                  </m:sSubPr>
                  <m:e>
                    <m:r>
                      <w:rPr>
                        <w:rFonts w:ascii="Cambria Math" w:eastAsia="宋体" w:hAnsi="Cambria Math"/>
                        <w:sz w:val="18"/>
                      </w:rPr>
                      <m:t>S</m:t>
                    </m:r>
                  </m:e>
                  <m:sub>
                    <m:r>
                      <w:rPr>
                        <w:rFonts w:ascii="Cambria Math" w:eastAsia="宋体" w:hAnsi="Cambria Math"/>
                        <w:sz w:val="18"/>
                      </w:rPr>
                      <m:t>6</m:t>
                    </m:r>
                  </m:sub>
                </m:sSub>
              </m:oMath>
            </m:oMathPara>
          </w:p>
        </w:tc>
      </w:tr>
    </w:tbl>
    <w:p w14:paraId="3BC7647F" w14:textId="2DBCACF2" w:rsidR="00DB5AE0" w:rsidRPr="00DB5AE0" w:rsidRDefault="00DB5AE0" w:rsidP="00DB5AE0">
      <w:pPr>
        <w:spacing w:before="120"/>
        <w:rPr>
          <w:rFonts w:eastAsia="宋体"/>
          <w:lang w:val="en-US"/>
        </w:rPr>
      </w:pPr>
      <w:r w:rsidRPr="00DB5AE0" w:rsidDel="00D72B3F">
        <w:rPr>
          <w:rFonts w:eastAsia="宋体"/>
          <w:b/>
          <w:bCs/>
        </w:rPr>
        <w:t xml:space="preserve">Proposal </w:t>
      </w:r>
      <w:r w:rsidRPr="00DB5AE0">
        <w:rPr>
          <w:rFonts w:eastAsia="宋体"/>
          <w:b/>
          <w:bCs/>
        </w:rPr>
        <w:t>5</w:t>
      </w:r>
      <w:r w:rsidRPr="00DB5AE0" w:rsidDel="00D72B3F">
        <w:rPr>
          <w:rFonts w:eastAsia="宋体"/>
        </w:rPr>
        <w:t xml:space="preserve">: </w:t>
      </w:r>
      <w:r w:rsidRPr="00DB5AE0">
        <w:rPr>
          <w:rFonts w:eastAsia="宋体"/>
        </w:rPr>
        <w:t>Include in the BS calculation for DSR corresponding to a remaining time range all PDUs until the last PDU belonging to any PDU set whose associated remaining time is within the remaining time range</w:t>
      </w:r>
      <w:r w:rsidRPr="00DB5AE0">
        <w:rPr>
          <w:rFonts w:eastAsia="宋体"/>
          <w:lang w:val="en-US"/>
        </w:rPr>
        <w:t>.</w:t>
      </w:r>
    </w:p>
    <w:p w14:paraId="16CB5684" w14:textId="77777777" w:rsidR="008B549E" w:rsidRPr="0032143B" w:rsidRDefault="008B549E" w:rsidP="008B549E">
      <w:pPr>
        <w:pStyle w:val="Heading1"/>
      </w:pPr>
      <w:r w:rsidRPr="0032143B">
        <w:t>3</w:t>
      </w:r>
      <w:r w:rsidRPr="0032143B">
        <w:tab/>
        <w:t>Conclusion</w:t>
      </w:r>
    </w:p>
    <w:p w14:paraId="1AFE4667" w14:textId="58154749" w:rsidR="00B6231B" w:rsidRDefault="00B6231B" w:rsidP="00B6231B">
      <w:r>
        <w:t>Remaining issues on DSR enhancements are discussed in this contribution with the following observations/proposals proposed:</w:t>
      </w:r>
    </w:p>
    <w:p w14:paraId="0163DE35" w14:textId="77777777" w:rsidR="004330DB" w:rsidRDefault="004330DB" w:rsidP="004330DB">
      <w:r w:rsidRPr="0032143B">
        <w:rPr>
          <w:b/>
        </w:rPr>
        <w:t>Proposal 1</w:t>
      </w:r>
      <w:r w:rsidRPr="0032143B">
        <w:t xml:space="preserve">: </w:t>
      </w:r>
      <w:r>
        <w:t>Control PDUs data volume are included in the first reporting threshold.</w:t>
      </w:r>
    </w:p>
    <w:p w14:paraId="6F504555" w14:textId="77777777" w:rsidR="004330DB" w:rsidRDefault="004330DB" w:rsidP="004330DB">
      <w:r w:rsidRPr="00D3697A">
        <w:rPr>
          <w:b/>
        </w:rPr>
        <w:t xml:space="preserve">Proposal </w:t>
      </w:r>
      <w:r w:rsidRPr="00D3697A">
        <w:rPr>
          <w:b/>
          <w:bCs/>
        </w:rPr>
        <w:t>2</w:t>
      </w:r>
      <w:r w:rsidRPr="00D3697A">
        <w:rPr>
          <w:b/>
        </w:rPr>
        <w:t>:</w:t>
      </w:r>
      <w:r>
        <w:t xml:space="preserve"> If an LCG is with only Control PDU, they are not reported in DSR.</w:t>
      </w:r>
    </w:p>
    <w:p w14:paraId="42057B94" w14:textId="77777777" w:rsidR="00683EC2" w:rsidRPr="00C75A4E" w:rsidRDefault="00683EC2" w:rsidP="00683EC2">
      <w:r>
        <w:rPr>
          <w:b/>
        </w:rPr>
        <w:t xml:space="preserve">Proposal 3: </w:t>
      </w:r>
      <w:r>
        <w:t>Retransmission PDU data volume is included in the reporting threshold corresponding to their respective remaining time</w:t>
      </w:r>
      <w:r>
        <w:rPr>
          <w:lang w:val="en-US"/>
        </w:rPr>
        <w:t xml:space="preserve"> value</w:t>
      </w:r>
      <w:r>
        <w:t xml:space="preserve">. </w:t>
      </w:r>
    </w:p>
    <w:p w14:paraId="67C28C1B" w14:textId="77777777" w:rsidR="004330DB" w:rsidRDefault="004330DB" w:rsidP="004330DB">
      <w:r w:rsidRPr="001D3415">
        <w:rPr>
          <w:b/>
        </w:rPr>
        <w:t xml:space="preserve">Proposal </w:t>
      </w:r>
      <w:r>
        <w:rPr>
          <w:b/>
        </w:rPr>
        <w:t>4</w:t>
      </w:r>
      <w:r w:rsidRPr="001D3415">
        <w:rPr>
          <w:b/>
        </w:rPr>
        <w:t xml:space="preserve">: </w:t>
      </w:r>
      <w:r w:rsidRPr="001D3415">
        <w:rPr>
          <w:bCs/>
        </w:rPr>
        <w:t>confirm Rel-19 DSR is flexible size that only reports entries with non-zero BS (at least based on the buffer status before LCP, better UE implementation can determine not to include zero BS based on buffer status after LCP).</w:t>
      </w:r>
    </w:p>
    <w:p w14:paraId="67EFD0F7" w14:textId="39F08393" w:rsidR="004330DB" w:rsidRPr="0057414A" w:rsidRDefault="004330DB" w:rsidP="00B6231B">
      <w:r w:rsidRPr="00DB5AE0" w:rsidDel="00D72B3F">
        <w:rPr>
          <w:rFonts w:eastAsia="宋体"/>
          <w:b/>
          <w:bCs/>
        </w:rPr>
        <w:t xml:space="preserve">Proposal </w:t>
      </w:r>
      <w:r w:rsidRPr="00DB5AE0">
        <w:rPr>
          <w:rFonts w:eastAsia="宋体"/>
          <w:b/>
          <w:bCs/>
        </w:rPr>
        <w:t>5</w:t>
      </w:r>
      <w:r w:rsidRPr="00DB5AE0" w:rsidDel="00D72B3F">
        <w:rPr>
          <w:rFonts w:eastAsia="宋体"/>
        </w:rPr>
        <w:t xml:space="preserve">: </w:t>
      </w:r>
      <w:r w:rsidRPr="00DB5AE0">
        <w:rPr>
          <w:rFonts w:eastAsia="宋体"/>
        </w:rPr>
        <w:t>Include in the BS calculation for DSR corresponding to a remaining time range all PDUs until the last PDU belonging to any PDU set whose associated remaining time is within the remaining time range</w:t>
      </w:r>
      <w:r w:rsidRPr="00DB5AE0">
        <w:rPr>
          <w:rFonts w:eastAsia="宋体"/>
          <w:lang w:val="en-US"/>
        </w:rPr>
        <w:t>.</w:t>
      </w:r>
    </w:p>
    <w:sectPr w:rsidR="004330DB" w:rsidRPr="0057414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FC787" w14:textId="77777777" w:rsidR="00BC0A1E" w:rsidRDefault="00BC0A1E">
      <w:r>
        <w:separator/>
      </w:r>
    </w:p>
  </w:endnote>
  <w:endnote w:type="continuationSeparator" w:id="0">
    <w:p w14:paraId="05405D41" w14:textId="77777777" w:rsidR="00BC0A1E" w:rsidRDefault="00BC0A1E">
      <w:r>
        <w:continuationSeparator/>
      </w:r>
    </w:p>
  </w:endnote>
  <w:endnote w:type="continuationNotice" w:id="1">
    <w:p w14:paraId="4C664A97" w14:textId="77777777" w:rsidR="00BC0A1E" w:rsidRDefault="00BC0A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6945B" w14:textId="77777777" w:rsidR="004F38C0" w:rsidRDefault="004F38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C5FEB" w14:textId="77777777" w:rsidR="004F38C0" w:rsidRDefault="004F38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76B5E" w14:textId="77777777" w:rsidR="004F38C0" w:rsidRDefault="004F38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4B6CA" w14:textId="77777777" w:rsidR="00BC0A1E" w:rsidRDefault="00BC0A1E">
      <w:r>
        <w:separator/>
      </w:r>
    </w:p>
  </w:footnote>
  <w:footnote w:type="continuationSeparator" w:id="0">
    <w:p w14:paraId="0A219F4E" w14:textId="77777777" w:rsidR="00BC0A1E" w:rsidRDefault="00BC0A1E">
      <w:r>
        <w:continuationSeparator/>
      </w:r>
    </w:p>
  </w:footnote>
  <w:footnote w:type="continuationNotice" w:id="1">
    <w:p w14:paraId="7929AF3E" w14:textId="77777777" w:rsidR="00BC0A1E" w:rsidRDefault="00BC0A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142BD" w14:textId="77777777" w:rsidR="004F38C0" w:rsidRDefault="004F38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06785" w14:textId="77777777" w:rsidR="004F38C0" w:rsidRDefault="004F38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CDADD" w14:textId="77777777" w:rsidR="004F38C0" w:rsidRDefault="004F3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3026BAD"/>
    <w:multiLevelType w:val="hybridMultilevel"/>
    <w:tmpl w:val="8DDEF556"/>
    <w:lvl w:ilvl="0" w:tplc="29447D26">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5511464C"/>
    <w:multiLevelType w:val="hybridMultilevel"/>
    <w:tmpl w:val="12C43C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F35F5F"/>
    <w:multiLevelType w:val="hybridMultilevel"/>
    <w:tmpl w:val="0A4C50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952334"/>
    <w:multiLevelType w:val="hybridMultilevel"/>
    <w:tmpl w:val="65FCD15E"/>
    <w:lvl w:ilvl="0" w:tplc="9B6E60AE">
      <w:start w:val="1"/>
      <w:numFmt w:val="decimal"/>
      <w:lvlText w:val="%1."/>
      <w:lvlJc w:val="left"/>
      <w:pPr>
        <w:ind w:left="720" w:hanging="360"/>
      </w:pPr>
      <w:rPr>
        <w:rFonts w:hint="default"/>
        <w:b w:val="0"/>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860192138">
    <w:abstractNumId w:val="18"/>
  </w:num>
  <w:num w:numId="19" w16cid:durableId="725689925">
    <w:abstractNumId w:val="21"/>
  </w:num>
  <w:num w:numId="20" w16cid:durableId="1963075917">
    <w:abstractNumId w:val="12"/>
  </w:num>
  <w:num w:numId="21" w16cid:durableId="491603518">
    <w:abstractNumId w:val="19"/>
  </w:num>
  <w:num w:numId="22" w16cid:durableId="125390048">
    <w:abstractNumId w:val="20"/>
  </w:num>
  <w:num w:numId="23" w16cid:durableId="26700496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528"/>
    <w:rsid w:val="00003B8F"/>
    <w:rsid w:val="00006C10"/>
    <w:rsid w:val="00012E81"/>
    <w:rsid w:val="000145A1"/>
    <w:rsid w:val="00016557"/>
    <w:rsid w:val="00020B33"/>
    <w:rsid w:val="00021867"/>
    <w:rsid w:val="00023C40"/>
    <w:rsid w:val="0002507D"/>
    <w:rsid w:val="00032517"/>
    <w:rsid w:val="00033397"/>
    <w:rsid w:val="00040095"/>
    <w:rsid w:val="000418DD"/>
    <w:rsid w:val="00065268"/>
    <w:rsid w:val="0007292F"/>
    <w:rsid w:val="00073C9C"/>
    <w:rsid w:val="00076412"/>
    <w:rsid w:val="00080512"/>
    <w:rsid w:val="00081472"/>
    <w:rsid w:val="0008394A"/>
    <w:rsid w:val="00090468"/>
    <w:rsid w:val="00094568"/>
    <w:rsid w:val="00095BC2"/>
    <w:rsid w:val="00095E5F"/>
    <w:rsid w:val="00095F13"/>
    <w:rsid w:val="000A21B1"/>
    <w:rsid w:val="000B457F"/>
    <w:rsid w:val="000B7BCF"/>
    <w:rsid w:val="000C522B"/>
    <w:rsid w:val="000C53AD"/>
    <w:rsid w:val="000C7B79"/>
    <w:rsid w:val="000D0CA8"/>
    <w:rsid w:val="000D3DFC"/>
    <w:rsid w:val="000D58AB"/>
    <w:rsid w:val="000E6A6F"/>
    <w:rsid w:val="000E6FAC"/>
    <w:rsid w:val="000E77F0"/>
    <w:rsid w:val="000F2C59"/>
    <w:rsid w:val="000F5E22"/>
    <w:rsid w:val="000F62F1"/>
    <w:rsid w:val="00104BD9"/>
    <w:rsid w:val="00104D08"/>
    <w:rsid w:val="0011046F"/>
    <w:rsid w:val="00112F1A"/>
    <w:rsid w:val="0012610D"/>
    <w:rsid w:val="00136C2C"/>
    <w:rsid w:val="00144954"/>
    <w:rsid w:val="00144CA0"/>
    <w:rsid w:val="00145075"/>
    <w:rsid w:val="00163A64"/>
    <w:rsid w:val="00164261"/>
    <w:rsid w:val="001741A0"/>
    <w:rsid w:val="00175859"/>
    <w:rsid w:val="00175FA0"/>
    <w:rsid w:val="001764E0"/>
    <w:rsid w:val="0018542A"/>
    <w:rsid w:val="0019022D"/>
    <w:rsid w:val="001917D1"/>
    <w:rsid w:val="00194CD0"/>
    <w:rsid w:val="00196BDE"/>
    <w:rsid w:val="001A31F6"/>
    <w:rsid w:val="001B0C1A"/>
    <w:rsid w:val="001B49C9"/>
    <w:rsid w:val="001C171F"/>
    <w:rsid w:val="001C23F4"/>
    <w:rsid w:val="001C3D7F"/>
    <w:rsid w:val="001C4F79"/>
    <w:rsid w:val="001D3415"/>
    <w:rsid w:val="001E40D8"/>
    <w:rsid w:val="001E5A9B"/>
    <w:rsid w:val="001F031D"/>
    <w:rsid w:val="001F168B"/>
    <w:rsid w:val="001F3D49"/>
    <w:rsid w:val="001F62F9"/>
    <w:rsid w:val="001F67A4"/>
    <w:rsid w:val="001F7831"/>
    <w:rsid w:val="00201DE1"/>
    <w:rsid w:val="00204045"/>
    <w:rsid w:val="00204695"/>
    <w:rsid w:val="0020712B"/>
    <w:rsid w:val="00213E36"/>
    <w:rsid w:val="0021716B"/>
    <w:rsid w:val="00217467"/>
    <w:rsid w:val="002223AC"/>
    <w:rsid w:val="0022606D"/>
    <w:rsid w:val="00231728"/>
    <w:rsid w:val="0023366E"/>
    <w:rsid w:val="00235E22"/>
    <w:rsid w:val="00244A05"/>
    <w:rsid w:val="00245DC6"/>
    <w:rsid w:val="00246DE3"/>
    <w:rsid w:val="002472E5"/>
    <w:rsid w:val="00250404"/>
    <w:rsid w:val="0025273A"/>
    <w:rsid w:val="00252EFC"/>
    <w:rsid w:val="0025344A"/>
    <w:rsid w:val="00256B74"/>
    <w:rsid w:val="002610D8"/>
    <w:rsid w:val="002650BB"/>
    <w:rsid w:val="002747EC"/>
    <w:rsid w:val="0028427E"/>
    <w:rsid w:val="002855BF"/>
    <w:rsid w:val="00285996"/>
    <w:rsid w:val="00290955"/>
    <w:rsid w:val="00290A7C"/>
    <w:rsid w:val="002A0FBC"/>
    <w:rsid w:val="002A7714"/>
    <w:rsid w:val="002B2988"/>
    <w:rsid w:val="002C261B"/>
    <w:rsid w:val="002C605F"/>
    <w:rsid w:val="002D1E3C"/>
    <w:rsid w:val="002D3532"/>
    <w:rsid w:val="002F09D1"/>
    <w:rsid w:val="002F0D22"/>
    <w:rsid w:val="002F32F1"/>
    <w:rsid w:val="002F3612"/>
    <w:rsid w:val="002F5979"/>
    <w:rsid w:val="002F69F9"/>
    <w:rsid w:val="00303585"/>
    <w:rsid w:val="00311B17"/>
    <w:rsid w:val="00315FA8"/>
    <w:rsid w:val="003172DC"/>
    <w:rsid w:val="0032143B"/>
    <w:rsid w:val="00325AE3"/>
    <w:rsid w:val="00326069"/>
    <w:rsid w:val="00327E3B"/>
    <w:rsid w:val="00331A4F"/>
    <w:rsid w:val="00335212"/>
    <w:rsid w:val="003402E9"/>
    <w:rsid w:val="00354557"/>
    <w:rsid w:val="0035462D"/>
    <w:rsid w:val="00356BBA"/>
    <w:rsid w:val="0036459E"/>
    <w:rsid w:val="00364B41"/>
    <w:rsid w:val="00383096"/>
    <w:rsid w:val="003852A2"/>
    <w:rsid w:val="0039346C"/>
    <w:rsid w:val="00396E01"/>
    <w:rsid w:val="003A39FA"/>
    <w:rsid w:val="003A41EF"/>
    <w:rsid w:val="003A4ED8"/>
    <w:rsid w:val="003B08C1"/>
    <w:rsid w:val="003B40AD"/>
    <w:rsid w:val="003B4357"/>
    <w:rsid w:val="003B5BC5"/>
    <w:rsid w:val="003C2BD7"/>
    <w:rsid w:val="003C3D6F"/>
    <w:rsid w:val="003C4E37"/>
    <w:rsid w:val="003D0FD0"/>
    <w:rsid w:val="003D2B80"/>
    <w:rsid w:val="003D6B42"/>
    <w:rsid w:val="003D6EE7"/>
    <w:rsid w:val="003D7AAB"/>
    <w:rsid w:val="003D7D29"/>
    <w:rsid w:val="003E16BE"/>
    <w:rsid w:val="003E1C01"/>
    <w:rsid w:val="003E350B"/>
    <w:rsid w:val="003E4CE3"/>
    <w:rsid w:val="003F0C50"/>
    <w:rsid w:val="003F240F"/>
    <w:rsid w:val="003F3423"/>
    <w:rsid w:val="003F4E28"/>
    <w:rsid w:val="003F4F05"/>
    <w:rsid w:val="003F59DC"/>
    <w:rsid w:val="003F76B6"/>
    <w:rsid w:val="004006E8"/>
    <w:rsid w:val="00401855"/>
    <w:rsid w:val="004108BA"/>
    <w:rsid w:val="004109F1"/>
    <w:rsid w:val="004115AD"/>
    <w:rsid w:val="00423A8E"/>
    <w:rsid w:val="004246FB"/>
    <w:rsid w:val="004330DB"/>
    <w:rsid w:val="00435881"/>
    <w:rsid w:val="004412BA"/>
    <w:rsid w:val="00441F17"/>
    <w:rsid w:val="00446C3A"/>
    <w:rsid w:val="00452E0A"/>
    <w:rsid w:val="004571E4"/>
    <w:rsid w:val="004606EE"/>
    <w:rsid w:val="00461202"/>
    <w:rsid w:val="00461941"/>
    <w:rsid w:val="00465587"/>
    <w:rsid w:val="00477455"/>
    <w:rsid w:val="00483950"/>
    <w:rsid w:val="0049529B"/>
    <w:rsid w:val="00497E3E"/>
    <w:rsid w:val="004A14F7"/>
    <w:rsid w:val="004A1F7B"/>
    <w:rsid w:val="004B284D"/>
    <w:rsid w:val="004B3B57"/>
    <w:rsid w:val="004C1507"/>
    <w:rsid w:val="004C44D2"/>
    <w:rsid w:val="004D3578"/>
    <w:rsid w:val="004D380D"/>
    <w:rsid w:val="004D5429"/>
    <w:rsid w:val="004E213A"/>
    <w:rsid w:val="004E7553"/>
    <w:rsid w:val="004F00F6"/>
    <w:rsid w:val="004F38C0"/>
    <w:rsid w:val="004F4540"/>
    <w:rsid w:val="004F73A7"/>
    <w:rsid w:val="0050259D"/>
    <w:rsid w:val="00503171"/>
    <w:rsid w:val="005048F9"/>
    <w:rsid w:val="00505495"/>
    <w:rsid w:val="00506C28"/>
    <w:rsid w:val="00513CC3"/>
    <w:rsid w:val="00520B1D"/>
    <w:rsid w:val="00521249"/>
    <w:rsid w:val="00523C3D"/>
    <w:rsid w:val="00534DA0"/>
    <w:rsid w:val="00537809"/>
    <w:rsid w:val="00541A65"/>
    <w:rsid w:val="005432D9"/>
    <w:rsid w:val="00543E6C"/>
    <w:rsid w:val="0055141C"/>
    <w:rsid w:val="00554CCF"/>
    <w:rsid w:val="005629BA"/>
    <w:rsid w:val="00562AFE"/>
    <w:rsid w:val="00565079"/>
    <w:rsid w:val="00565087"/>
    <w:rsid w:val="0056573F"/>
    <w:rsid w:val="00565E6D"/>
    <w:rsid w:val="00571279"/>
    <w:rsid w:val="0057306D"/>
    <w:rsid w:val="00573250"/>
    <w:rsid w:val="00575FC5"/>
    <w:rsid w:val="005778E4"/>
    <w:rsid w:val="00583D3B"/>
    <w:rsid w:val="00587E6A"/>
    <w:rsid w:val="005A13AB"/>
    <w:rsid w:val="005A49C6"/>
    <w:rsid w:val="005A579B"/>
    <w:rsid w:val="005A5862"/>
    <w:rsid w:val="005B4E7C"/>
    <w:rsid w:val="005B6A52"/>
    <w:rsid w:val="005B7865"/>
    <w:rsid w:val="005C0E92"/>
    <w:rsid w:val="005C311F"/>
    <w:rsid w:val="005C3623"/>
    <w:rsid w:val="005C5AC1"/>
    <w:rsid w:val="005C766E"/>
    <w:rsid w:val="005C7CD5"/>
    <w:rsid w:val="005D4846"/>
    <w:rsid w:val="005D4CA3"/>
    <w:rsid w:val="005D60C9"/>
    <w:rsid w:val="005F126A"/>
    <w:rsid w:val="005F177C"/>
    <w:rsid w:val="005F22D6"/>
    <w:rsid w:val="006049B5"/>
    <w:rsid w:val="00611566"/>
    <w:rsid w:val="0064206A"/>
    <w:rsid w:val="00646D99"/>
    <w:rsid w:val="00651F92"/>
    <w:rsid w:val="00651FAD"/>
    <w:rsid w:val="006543EE"/>
    <w:rsid w:val="00656910"/>
    <w:rsid w:val="006574C0"/>
    <w:rsid w:val="00660EBE"/>
    <w:rsid w:val="00667196"/>
    <w:rsid w:val="00670B9D"/>
    <w:rsid w:val="00672093"/>
    <w:rsid w:val="00672FCD"/>
    <w:rsid w:val="00672FD4"/>
    <w:rsid w:val="0067368E"/>
    <w:rsid w:val="00683EC2"/>
    <w:rsid w:val="006928AC"/>
    <w:rsid w:val="006933D2"/>
    <w:rsid w:val="00693D6D"/>
    <w:rsid w:val="00695A5A"/>
    <w:rsid w:val="00696821"/>
    <w:rsid w:val="006A0C0A"/>
    <w:rsid w:val="006A2820"/>
    <w:rsid w:val="006A37EC"/>
    <w:rsid w:val="006A3F24"/>
    <w:rsid w:val="006B3138"/>
    <w:rsid w:val="006B48D4"/>
    <w:rsid w:val="006C2C06"/>
    <w:rsid w:val="006C3A90"/>
    <w:rsid w:val="006C4BCA"/>
    <w:rsid w:val="006C5035"/>
    <w:rsid w:val="006C5D21"/>
    <w:rsid w:val="006C66D8"/>
    <w:rsid w:val="006D0EFE"/>
    <w:rsid w:val="006D159E"/>
    <w:rsid w:val="006D1E24"/>
    <w:rsid w:val="006D257B"/>
    <w:rsid w:val="006D35DE"/>
    <w:rsid w:val="006D54CD"/>
    <w:rsid w:val="006E0ABE"/>
    <w:rsid w:val="006E1057"/>
    <w:rsid w:val="006E1417"/>
    <w:rsid w:val="006F596D"/>
    <w:rsid w:val="006F6A2C"/>
    <w:rsid w:val="007006AA"/>
    <w:rsid w:val="007017C6"/>
    <w:rsid w:val="00701959"/>
    <w:rsid w:val="007069DC"/>
    <w:rsid w:val="00710201"/>
    <w:rsid w:val="00711E5E"/>
    <w:rsid w:val="0072073A"/>
    <w:rsid w:val="00723B23"/>
    <w:rsid w:val="00727E11"/>
    <w:rsid w:val="007342B5"/>
    <w:rsid w:val="00734A5B"/>
    <w:rsid w:val="0074498C"/>
    <w:rsid w:val="00744E76"/>
    <w:rsid w:val="0075539C"/>
    <w:rsid w:val="00755845"/>
    <w:rsid w:val="00757D40"/>
    <w:rsid w:val="00761B89"/>
    <w:rsid w:val="007628CC"/>
    <w:rsid w:val="00763E92"/>
    <w:rsid w:val="00764545"/>
    <w:rsid w:val="0076514F"/>
    <w:rsid w:val="007662B5"/>
    <w:rsid w:val="0076651D"/>
    <w:rsid w:val="00770A72"/>
    <w:rsid w:val="00781F0F"/>
    <w:rsid w:val="007833FC"/>
    <w:rsid w:val="00786034"/>
    <w:rsid w:val="0078727C"/>
    <w:rsid w:val="0079049D"/>
    <w:rsid w:val="00793DC5"/>
    <w:rsid w:val="00794E40"/>
    <w:rsid w:val="00796823"/>
    <w:rsid w:val="00797272"/>
    <w:rsid w:val="007A19DA"/>
    <w:rsid w:val="007A2E55"/>
    <w:rsid w:val="007B18D8"/>
    <w:rsid w:val="007B5DC5"/>
    <w:rsid w:val="007C095F"/>
    <w:rsid w:val="007C2DD0"/>
    <w:rsid w:val="007C42EB"/>
    <w:rsid w:val="007D1537"/>
    <w:rsid w:val="007D28C8"/>
    <w:rsid w:val="007D34A7"/>
    <w:rsid w:val="007D366C"/>
    <w:rsid w:val="007D68BE"/>
    <w:rsid w:val="007E50D1"/>
    <w:rsid w:val="007E764D"/>
    <w:rsid w:val="007F258E"/>
    <w:rsid w:val="007F2E08"/>
    <w:rsid w:val="007F55FB"/>
    <w:rsid w:val="008024FA"/>
    <w:rsid w:val="008028A4"/>
    <w:rsid w:val="00804A64"/>
    <w:rsid w:val="00804C54"/>
    <w:rsid w:val="00806B9B"/>
    <w:rsid w:val="00811ED3"/>
    <w:rsid w:val="00813245"/>
    <w:rsid w:val="00813CD9"/>
    <w:rsid w:val="00822538"/>
    <w:rsid w:val="00822837"/>
    <w:rsid w:val="00830E97"/>
    <w:rsid w:val="008333BD"/>
    <w:rsid w:val="00840DE0"/>
    <w:rsid w:val="00842497"/>
    <w:rsid w:val="00843E9C"/>
    <w:rsid w:val="00847AEE"/>
    <w:rsid w:val="00847CD0"/>
    <w:rsid w:val="008501D8"/>
    <w:rsid w:val="00853853"/>
    <w:rsid w:val="00853D27"/>
    <w:rsid w:val="008607A8"/>
    <w:rsid w:val="0086354A"/>
    <w:rsid w:val="00864F63"/>
    <w:rsid w:val="00866931"/>
    <w:rsid w:val="00867C63"/>
    <w:rsid w:val="008768CA"/>
    <w:rsid w:val="00877EF9"/>
    <w:rsid w:val="00880559"/>
    <w:rsid w:val="0088511A"/>
    <w:rsid w:val="008A13B6"/>
    <w:rsid w:val="008A2D75"/>
    <w:rsid w:val="008B1F82"/>
    <w:rsid w:val="008B4338"/>
    <w:rsid w:val="008B5306"/>
    <w:rsid w:val="008B549E"/>
    <w:rsid w:val="008B54E8"/>
    <w:rsid w:val="008B6F1F"/>
    <w:rsid w:val="008C2E2A"/>
    <w:rsid w:val="008C3057"/>
    <w:rsid w:val="008C60AC"/>
    <w:rsid w:val="008D035D"/>
    <w:rsid w:val="008D0C8C"/>
    <w:rsid w:val="008D2E4D"/>
    <w:rsid w:val="008D4692"/>
    <w:rsid w:val="008E3EA6"/>
    <w:rsid w:val="008E782D"/>
    <w:rsid w:val="008E79E7"/>
    <w:rsid w:val="008F396F"/>
    <w:rsid w:val="008F3DCD"/>
    <w:rsid w:val="009018E3"/>
    <w:rsid w:val="009020E0"/>
    <w:rsid w:val="0090271F"/>
    <w:rsid w:val="00902DB9"/>
    <w:rsid w:val="0090466A"/>
    <w:rsid w:val="00905E5A"/>
    <w:rsid w:val="009076D6"/>
    <w:rsid w:val="00910361"/>
    <w:rsid w:val="00910E29"/>
    <w:rsid w:val="00911F55"/>
    <w:rsid w:val="009158A7"/>
    <w:rsid w:val="0091689A"/>
    <w:rsid w:val="00923655"/>
    <w:rsid w:val="009248C6"/>
    <w:rsid w:val="009339CB"/>
    <w:rsid w:val="009350F4"/>
    <w:rsid w:val="00936071"/>
    <w:rsid w:val="009376CD"/>
    <w:rsid w:val="00940212"/>
    <w:rsid w:val="00941840"/>
    <w:rsid w:val="00942EC2"/>
    <w:rsid w:val="00946353"/>
    <w:rsid w:val="00960A76"/>
    <w:rsid w:val="00961B32"/>
    <w:rsid w:val="0096219A"/>
    <w:rsid w:val="00962509"/>
    <w:rsid w:val="00970DB3"/>
    <w:rsid w:val="00974600"/>
    <w:rsid w:val="00974BB0"/>
    <w:rsid w:val="00975BCD"/>
    <w:rsid w:val="009818A2"/>
    <w:rsid w:val="00984654"/>
    <w:rsid w:val="009861A5"/>
    <w:rsid w:val="00986EE5"/>
    <w:rsid w:val="009928A9"/>
    <w:rsid w:val="009A0AF3"/>
    <w:rsid w:val="009A3D6D"/>
    <w:rsid w:val="009A4CA7"/>
    <w:rsid w:val="009B07CD"/>
    <w:rsid w:val="009B2551"/>
    <w:rsid w:val="009C19E9"/>
    <w:rsid w:val="009D4729"/>
    <w:rsid w:val="009D74A6"/>
    <w:rsid w:val="009E0E87"/>
    <w:rsid w:val="009E482D"/>
    <w:rsid w:val="009F2185"/>
    <w:rsid w:val="009F5381"/>
    <w:rsid w:val="00A063F2"/>
    <w:rsid w:val="00A10F02"/>
    <w:rsid w:val="00A17176"/>
    <w:rsid w:val="00A204CA"/>
    <w:rsid w:val="00A209D6"/>
    <w:rsid w:val="00A22738"/>
    <w:rsid w:val="00A320DA"/>
    <w:rsid w:val="00A36F5F"/>
    <w:rsid w:val="00A430EC"/>
    <w:rsid w:val="00A44209"/>
    <w:rsid w:val="00A4541C"/>
    <w:rsid w:val="00A50445"/>
    <w:rsid w:val="00A5051F"/>
    <w:rsid w:val="00A53724"/>
    <w:rsid w:val="00A54B2B"/>
    <w:rsid w:val="00A57A01"/>
    <w:rsid w:val="00A65B59"/>
    <w:rsid w:val="00A703B6"/>
    <w:rsid w:val="00A80136"/>
    <w:rsid w:val="00A82346"/>
    <w:rsid w:val="00A9287E"/>
    <w:rsid w:val="00A9671C"/>
    <w:rsid w:val="00AA1553"/>
    <w:rsid w:val="00AA61FB"/>
    <w:rsid w:val="00AB0FE3"/>
    <w:rsid w:val="00AC229E"/>
    <w:rsid w:val="00AD5EBD"/>
    <w:rsid w:val="00AD6444"/>
    <w:rsid w:val="00AD7E7C"/>
    <w:rsid w:val="00AE2C89"/>
    <w:rsid w:val="00AE42DD"/>
    <w:rsid w:val="00AE4BB4"/>
    <w:rsid w:val="00AE61BE"/>
    <w:rsid w:val="00AF5B88"/>
    <w:rsid w:val="00B05380"/>
    <w:rsid w:val="00B05962"/>
    <w:rsid w:val="00B15449"/>
    <w:rsid w:val="00B16C2F"/>
    <w:rsid w:val="00B201FA"/>
    <w:rsid w:val="00B27303"/>
    <w:rsid w:val="00B37A16"/>
    <w:rsid w:val="00B45EDF"/>
    <w:rsid w:val="00B473F1"/>
    <w:rsid w:val="00B4792B"/>
    <w:rsid w:val="00B47FD1"/>
    <w:rsid w:val="00B516B9"/>
    <w:rsid w:val="00B516BB"/>
    <w:rsid w:val="00B5751D"/>
    <w:rsid w:val="00B57E94"/>
    <w:rsid w:val="00B6231B"/>
    <w:rsid w:val="00B636EB"/>
    <w:rsid w:val="00B669E9"/>
    <w:rsid w:val="00B71CE6"/>
    <w:rsid w:val="00B73690"/>
    <w:rsid w:val="00B7538C"/>
    <w:rsid w:val="00B84DB2"/>
    <w:rsid w:val="00B94BD0"/>
    <w:rsid w:val="00BB4FA4"/>
    <w:rsid w:val="00BC0A1E"/>
    <w:rsid w:val="00BC3538"/>
    <w:rsid w:val="00BC3555"/>
    <w:rsid w:val="00BD15A4"/>
    <w:rsid w:val="00BD2D14"/>
    <w:rsid w:val="00BE3D9C"/>
    <w:rsid w:val="00BF1EB9"/>
    <w:rsid w:val="00BF3E2A"/>
    <w:rsid w:val="00BF4167"/>
    <w:rsid w:val="00C03969"/>
    <w:rsid w:val="00C07241"/>
    <w:rsid w:val="00C12B51"/>
    <w:rsid w:val="00C179AB"/>
    <w:rsid w:val="00C24650"/>
    <w:rsid w:val="00C25056"/>
    <w:rsid w:val="00C25465"/>
    <w:rsid w:val="00C275A8"/>
    <w:rsid w:val="00C3166F"/>
    <w:rsid w:val="00C31806"/>
    <w:rsid w:val="00C33079"/>
    <w:rsid w:val="00C33168"/>
    <w:rsid w:val="00C37E47"/>
    <w:rsid w:val="00C508C2"/>
    <w:rsid w:val="00C50A71"/>
    <w:rsid w:val="00C55A12"/>
    <w:rsid w:val="00C60252"/>
    <w:rsid w:val="00C61032"/>
    <w:rsid w:val="00C6553E"/>
    <w:rsid w:val="00C70813"/>
    <w:rsid w:val="00C724B6"/>
    <w:rsid w:val="00C75A4E"/>
    <w:rsid w:val="00C80D26"/>
    <w:rsid w:val="00C81FFC"/>
    <w:rsid w:val="00C83A13"/>
    <w:rsid w:val="00C86F10"/>
    <w:rsid w:val="00C9068C"/>
    <w:rsid w:val="00C92967"/>
    <w:rsid w:val="00C9296E"/>
    <w:rsid w:val="00C946E7"/>
    <w:rsid w:val="00C9712F"/>
    <w:rsid w:val="00CA3CF5"/>
    <w:rsid w:val="00CA3D0C"/>
    <w:rsid w:val="00CA654B"/>
    <w:rsid w:val="00CA7647"/>
    <w:rsid w:val="00CA7CFA"/>
    <w:rsid w:val="00CB183F"/>
    <w:rsid w:val="00CB72B8"/>
    <w:rsid w:val="00CB7420"/>
    <w:rsid w:val="00CC0CC2"/>
    <w:rsid w:val="00CC3F73"/>
    <w:rsid w:val="00CD04C5"/>
    <w:rsid w:val="00CD0BA8"/>
    <w:rsid w:val="00CD4C7B"/>
    <w:rsid w:val="00CD58FE"/>
    <w:rsid w:val="00CF75DA"/>
    <w:rsid w:val="00D023BE"/>
    <w:rsid w:val="00D06335"/>
    <w:rsid w:val="00D10684"/>
    <w:rsid w:val="00D11C8E"/>
    <w:rsid w:val="00D12CD8"/>
    <w:rsid w:val="00D20FC6"/>
    <w:rsid w:val="00D25D3D"/>
    <w:rsid w:val="00D33202"/>
    <w:rsid w:val="00D33BE3"/>
    <w:rsid w:val="00D3697A"/>
    <w:rsid w:val="00D3792D"/>
    <w:rsid w:val="00D44FF0"/>
    <w:rsid w:val="00D45ACF"/>
    <w:rsid w:val="00D46EC6"/>
    <w:rsid w:val="00D52181"/>
    <w:rsid w:val="00D54820"/>
    <w:rsid w:val="00D55518"/>
    <w:rsid w:val="00D55E47"/>
    <w:rsid w:val="00D62E19"/>
    <w:rsid w:val="00D6524B"/>
    <w:rsid w:val="00D655AA"/>
    <w:rsid w:val="00D67CD1"/>
    <w:rsid w:val="00D738D6"/>
    <w:rsid w:val="00D77189"/>
    <w:rsid w:val="00D80795"/>
    <w:rsid w:val="00D854BE"/>
    <w:rsid w:val="00D863FB"/>
    <w:rsid w:val="00D87E00"/>
    <w:rsid w:val="00D9134D"/>
    <w:rsid w:val="00D956EB"/>
    <w:rsid w:val="00D96D11"/>
    <w:rsid w:val="00D975D6"/>
    <w:rsid w:val="00DA1415"/>
    <w:rsid w:val="00DA1F88"/>
    <w:rsid w:val="00DA3A35"/>
    <w:rsid w:val="00DA5FEF"/>
    <w:rsid w:val="00DA7A03"/>
    <w:rsid w:val="00DB010A"/>
    <w:rsid w:val="00DB0DB8"/>
    <w:rsid w:val="00DB1818"/>
    <w:rsid w:val="00DB1B1F"/>
    <w:rsid w:val="00DB5AE0"/>
    <w:rsid w:val="00DB7BF1"/>
    <w:rsid w:val="00DC07D2"/>
    <w:rsid w:val="00DC0AC0"/>
    <w:rsid w:val="00DC17F6"/>
    <w:rsid w:val="00DC309B"/>
    <w:rsid w:val="00DC4DA2"/>
    <w:rsid w:val="00DC4E3D"/>
    <w:rsid w:val="00DC5261"/>
    <w:rsid w:val="00DC7F8F"/>
    <w:rsid w:val="00DD3057"/>
    <w:rsid w:val="00DD700E"/>
    <w:rsid w:val="00DE25D2"/>
    <w:rsid w:val="00DF12DB"/>
    <w:rsid w:val="00DF13C7"/>
    <w:rsid w:val="00DF4A29"/>
    <w:rsid w:val="00DF4B8F"/>
    <w:rsid w:val="00DF7C20"/>
    <w:rsid w:val="00E023F3"/>
    <w:rsid w:val="00E038FB"/>
    <w:rsid w:val="00E074C7"/>
    <w:rsid w:val="00E106B0"/>
    <w:rsid w:val="00E11D66"/>
    <w:rsid w:val="00E12501"/>
    <w:rsid w:val="00E22616"/>
    <w:rsid w:val="00E32811"/>
    <w:rsid w:val="00E33966"/>
    <w:rsid w:val="00E36200"/>
    <w:rsid w:val="00E42A2B"/>
    <w:rsid w:val="00E46C08"/>
    <w:rsid w:val="00E471CF"/>
    <w:rsid w:val="00E47B9F"/>
    <w:rsid w:val="00E52CB1"/>
    <w:rsid w:val="00E579BF"/>
    <w:rsid w:val="00E61DB3"/>
    <w:rsid w:val="00E62835"/>
    <w:rsid w:val="00E62FED"/>
    <w:rsid w:val="00E6480E"/>
    <w:rsid w:val="00E7616A"/>
    <w:rsid w:val="00E77645"/>
    <w:rsid w:val="00E777CB"/>
    <w:rsid w:val="00E77C10"/>
    <w:rsid w:val="00E82F1F"/>
    <w:rsid w:val="00E83697"/>
    <w:rsid w:val="00E839FB"/>
    <w:rsid w:val="00E859B6"/>
    <w:rsid w:val="00E8617C"/>
    <w:rsid w:val="00E862B3"/>
    <w:rsid w:val="00E91685"/>
    <w:rsid w:val="00E91BA7"/>
    <w:rsid w:val="00E95102"/>
    <w:rsid w:val="00E96540"/>
    <w:rsid w:val="00E97842"/>
    <w:rsid w:val="00EA38C9"/>
    <w:rsid w:val="00EA66C9"/>
    <w:rsid w:val="00EB1480"/>
    <w:rsid w:val="00EB2184"/>
    <w:rsid w:val="00EB3C73"/>
    <w:rsid w:val="00EB5D32"/>
    <w:rsid w:val="00EC4A25"/>
    <w:rsid w:val="00ED1C74"/>
    <w:rsid w:val="00ED3C36"/>
    <w:rsid w:val="00ED525C"/>
    <w:rsid w:val="00ED658E"/>
    <w:rsid w:val="00EE3801"/>
    <w:rsid w:val="00EF32E0"/>
    <w:rsid w:val="00EF612C"/>
    <w:rsid w:val="00F025A2"/>
    <w:rsid w:val="00F036E9"/>
    <w:rsid w:val="00F05D49"/>
    <w:rsid w:val="00F07388"/>
    <w:rsid w:val="00F16EF8"/>
    <w:rsid w:val="00F17790"/>
    <w:rsid w:val="00F2026E"/>
    <w:rsid w:val="00F22024"/>
    <w:rsid w:val="00F2210A"/>
    <w:rsid w:val="00F2530F"/>
    <w:rsid w:val="00F307E6"/>
    <w:rsid w:val="00F31372"/>
    <w:rsid w:val="00F37743"/>
    <w:rsid w:val="00F40C2F"/>
    <w:rsid w:val="00F42493"/>
    <w:rsid w:val="00F47FAE"/>
    <w:rsid w:val="00F5089B"/>
    <w:rsid w:val="00F52A1F"/>
    <w:rsid w:val="00F5304A"/>
    <w:rsid w:val="00F54A3D"/>
    <w:rsid w:val="00F54CB0"/>
    <w:rsid w:val="00F55089"/>
    <w:rsid w:val="00F579CD"/>
    <w:rsid w:val="00F653B8"/>
    <w:rsid w:val="00F71B89"/>
    <w:rsid w:val="00F7353C"/>
    <w:rsid w:val="00F76F8F"/>
    <w:rsid w:val="00F80CAA"/>
    <w:rsid w:val="00F84DBC"/>
    <w:rsid w:val="00F87048"/>
    <w:rsid w:val="00F87257"/>
    <w:rsid w:val="00F92AA9"/>
    <w:rsid w:val="00F93481"/>
    <w:rsid w:val="00F941DF"/>
    <w:rsid w:val="00F976B6"/>
    <w:rsid w:val="00FA1266"/>
    <w:rsid w:val="00FA7C41"/>
    <w:rsid w:val="00FB36FA"/>
    <w:rsid w:val="00FC1192"/>
    <w:rsid w:val="00FC1251"/>
    <w:rsid w:val="00FE106D"/>
    <w:rsid w:val="00FE251B"/>
    <w:rsid w:val="00FE4C40"/>
    <w:rsid w:val="00FF5577"/>
    <w:rsid w:val="00FF726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C1F7F855-1524-4063-9349-4B315EF29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basedOn w:val="TableNormal"/>
    <w:rsid w:val="003B43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A31F6"/>
    <w:rPr>
      <w:lang w:eastAsia="en-US"/>
    </w:rPr>
  </w:style>
  <w:style w:type="paragraph" w:customStyle="1" w:styleId="Agreement">
    <w:name w:val="Agreement"/>
    <w:basedOn w:val="Normal"/>
    <w:next w:val="Doc-text2"/>
    <w:uiPriority w:val="99"/>
    <w:qFormat/>
    <w:rsid w:val="00D655AA"/>
    <w:pPr>
      <w:numPr>
        <w:numId w:val="2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RBI5PAMIO524-1616901215-42839</_dlc_DocId>
    <_dlc_DocIdUrl xmlns="71c5aaf6-e6ce-465b-b873-5148d2a4c105">
      <Url>https://nokia.sharepoint.com/sites/gxp/_layouts/15/DocIdRedir.aspx?ID=RBI5PAMIO524-1616901215-42839</Url>
      <Description>RBI5PAMIO524-1616901215-42839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www.w3.org/XML/1998/namespace"/>
    <ds:schemaRef ds:uri="http://purl.org/dc/elements/1.1/"/>
    <ds:schemaRef ds:uri="http://schemas.microsoft.com/office/2006/documentManagement/types"/>
    <ds:schemaRef ds:uri="http://schemas.openxmlformats.org/package/2006/metadata/core-properties"/>
    <ds:schemaRef ds:uri="http://purl.org/dc/dcmitype/"/>
    <ds:schemaRef ds:uri="http://purl.org/dc/terms/"/>
    <ds:schemaRef ds:uri="71c5aaf6-e6ce-465b-b873-5148d2a4c105"/>
    <ds:schemaRef ds:uri="3f2ce089-3858-4176-9a21-a30f9204848e"/>
    <ds:schemaRef ds:uri="http://schemas.microsoft.com/office/infopath/2007/PartnerControls"/>
    <ds:schemaRef ds:uri="7275bb01-7583-478d-bc14-e839a2dd5989"/>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1394</Words>
  <Characters>7947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9323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2</cp:revision>
  <dcterms:created xsi:type="dcterms:W3CDTF">2025-03-28T04:02:00Z</dcterms:created>
  <dcterms:modified xsi:type="dcterms:W3CDTF">2025-03-28T04:02:00Z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27ee458e-c5dc-4e5d-bdd0-6733a4b9c99f</vt:lpwstr>
  </property>
</Properties>
</file>